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D465" w14:textId="37E01785" w:rsidR="00DD54D1" w:rsidRDefault="00195226" w:rsidP="004C41FB">
      <w:pPr>
        <w:pStyle w:val="Title"/>
      </w:pPr>
      <w:r>
        <w:t>Physical</w:t>
      </w:r>
      <w:r w:rsidR="004C41FB">
        <w:t xml:space="preserve"> Access Policy</w:t>
      </w:r>
    </w:p>
    <w:p w14:paraId="2DFA4CC6" w14:textId="082AEDEB" w:rsidR="000B4C6D" w:rsidRPr="000B4C6D" w:rsidRDefault="000B4C6D" w:rsidP="000B4C6D">
      <w:r>
        <w:t>Policy to govern physical access controls</w:t>
      </w:r>
      <w:r w:rsidR="00A71BD2">
        <w:t xml:space="preserve"> within the Microlink premises.</w:t>
      </w:r>
    </w:p>
    <w:p w14:paraId="5DCC1C53" w14:textId="77777777" w:rsidR="000B4C6D" w:rsidRPr="007818C7" w:rsidRDefault="000B4C6D" w:rsidP="000B4C6D">
      <w:pPr>
        <w:pStyle w:val="Heading1"/>
        <w:rPr>
          <w:sz w:val="28"/>
          <w:szCs w:val="28"/>
        </w:rPr>
      </w:pPr>
      <w:bookmarkStart w:id="0" w:name="_Toc98247687"/>
      <w:r w:rsidRPr="007818C7">
        <w:rPr>
          <w:sz w:val="28"/>
          <w:szCs w:val="28"/>
        </w:rPr>
        <w:t>Version Control</w:t>
      </w:r>
      <w:bookmarkEnd w:id="0"/>
    </w:p>
    <w:tbl>
      <w:tblPr>
        <w:tblStyle w:val="GridTable1Light-Accent2"/>
        <w:tblW w:w="0" w:type="auto"/>
        <w:tblLook w:val="04A0" w:firstRow="1" w:lastRow="0" w:firstColumn="1" w:lastColumn="0" w:noHBand="0" w:noVBand="1"/>
      </w:tblPr>
      <w:tblGrid>
        <w:gridCol w:w="842"/>
        <w:gridCol w:w="1278"/>
        <w:gridCol w:w="1986"/>
        <w:gridCol w:w="6350"/>
      </w:tblGrid>
      <w:tr w:rsidR="000B4C6D" w:rsidRPr="007818C7" w14:paraId="613BEDC5" w14:textId="77777777" w:rsidTr="2B18F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14:paraId="7A6774F0" w14:textId="77777777" w:rsidR="000B4C6D" w:rsidRPr="007818C7" w:rsidRDefault="000B4C6D" w:rsidP="00AE210F">
            <w:pPr>
              <w:rPr>
                <w:sz w:val="20"/>
                <w:szCs w:val="20"/>
                <w:highlight w:val="lightGray"/>
              </w:rPr>
            </w:pPr>
            <w:r w:rsidRPr="007818C7">
              <w:rPr>
                <w:rFonts w:ascii="Times New Roman" w:eastAsia="Times New Roman" w:hAnsi="Times New Roman" w:cs="Times New Roman"/>
                <w:sz w:val="14"/>
                <w:szCs w:val="14"/>
              </w:rPr>
              <w:t>Version</w:t>
            </w:r>
          </w:p>
        </w:tc>
        <w:tc>
          <w:tcPr>
            <w:tcW w:w="1278" w:type="dxa"/>
          </w:tcPr>
          <w:p w14:paraId="6DFE24C1" w14:textId="77777777" w:rsidR="000B4C6D" w:rsidRPr="007818C7" w:rsidRDefault="000B4C6D" w:rsidP="00AE210F">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Date</w:t>
            </w:r>
          </w:p>
        </w:tc>
        <w:tc>
          <w:tcPr>
            <w:tcW w:w="1986" w:type="dxa"/>
          </w:tcPr>
          <w:p w14:paraId="49D4ECD5" w14:textId="77777777" w:rsidR="000B4C6D" w:rsidRPr="007818C7" w:rsidRDefault="000B4C6D" w:rsidP="00AE210F">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Amended By</w:t>
            </w:r>
          </w:p>
        </w:tc>
        <w:tc>
          <w:tcPr>
            <w:tcW w:w="6350" w:type="dxa"/>
          </w:tcPr>
          <w:p w14:paraId="088E96CD" w14:textId="77777777" w:rsidR="000B4C6D" w:rsidRPr="007818C7" w:rsidRDefault="000B4C6D" w:rsidP="00AE210F">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Summary of Change</w:t>
            </w:r>
          </w:p>
        </w:tc>
      </w:tr>
      <w:tr w:rsidR="000B4C6D" w:rsidRPr="007818C7" w14:paraId="042B5334" w14:textId="77777777" w:rsidTr="2B18F497">
        <w:tc>
          <w:tcPr>
            <w:cnfStyle w:val="001000000000" w:firstRow="0" w:lastRow="0" w:firstColumn="1" w:lastColumn="0" w:oddVBand="0" w:evenVBand="0" w:oddHBand="0" w:evenHBand="0" w:firstRowFirstColumn="0" w:firstRowLastColumn="0" w:lastRowFirstColumn="0" w:lastRowLastColumn="0"/>
            <w:tcW w:w="842" w:type="dxa"/>
          </w:tcPr>
          <w:p w14:paraId="531D7A5A" w14:textId="77777777" w:rsidR="000B4C6D" w:rsidRPr="007818C7" w:rsidRDefault="000B4C6D" w:rsidP="00AE210F">
            <w:pPr>
              <w:rPr>
                <w:sz w:val="14"/>
                <w:szCs w:val="14"/>
              </w:rPr>
            </w:pPr>
            <w:r w:rsidRPr="007818C7">
              <w:rPr>
                <w:sz w:val="14"/>
                <w:szCs w:val="14"/>
              </w:rPr>
              <w:t>0.1</w:t>
            </w:r>
          </w:p>
        </w:tc>
        <w:tc>
          <w:tcPr>
            <w:tcW w:w="1278" w:type="dxa"/>
          </w:tcPr>
          <w:p w14:paraId="2CEBBC18" w14:textId="77777777" w:rsidR="000B4C6D" w:rsidRPr="007818C7" w:rsidRDefault="000B4C6D" w:rsidP="00AE210F">
            <w:pPr>
              <w:cnfStyle w:val="000000000000" w:firstRow="0" w:lastRow="0" w:firstColumn="0" w:lastColumn="0" w:oddVBand="0" w:evenVBand="0" w:oddHBand="0" w:evenHBand="0" w:firstRowFirstColumn="0" w:firstRowLastColumn="0" w:lastRowFirstColumn="0" w:lastRowLastColumn="0"/>
              <w:rPr>
                <w:sz w:val="14"/>
                <w:szCs w:val="14"/>
              </w:rPr>
            </w:pPr>
            <w:r w:rsidRPr="007818C7">
              <w:rPr>
                <w:sz w:val="14"/>
                <w:szCs w:val="14"/>
              </w:rPr>
              <w:t>02/03/2022</w:t>
            </w:r>
          </w:p>
        </w:tc>
        <w:tc>
          <w:tcPr>
            <w:tcW w:w="1986" w:type="dxa"/>
          </w:tcPr>
          <w:p w14:paraId="6A9B9FAF" w14:textId="77777777" w:rsidR="000B4C6D" w:rsidRPr="007818C7" w:rsidRDefault="000B4C6D" w:rsidP="00AE210F">
            <w:pPr>
              <w:cnfStyle w:val="000000000000" w:firstRow="0" w:lastRow="0" w:firstColumn="0" w:lastColumn="0" w:oddVBand="0" w:evenVBand="0" w:oddHBand="0" w:evenHBand="0" w:firstRowFirstColumn="0" w:firstRowLastColumn="0" w:lastRowFirstColumn="0" w:lastRowLastColumn="0"/>
              <w:rPr>
                <w:sz w:val="14"/>
                <w:szCs w:val="14"/>
              </w:rPr>
            </w:pPr>
            <w:r w:rsidRPr="007818C7">
              <w:rPr>
                <w:sz w:val="14"/>
                <w:szCs w:val="14"/>
              </w:rPr>
              <w:t>David Henderson</w:t>
            </w:r>
          </w:p>
        </w:tc>
        <w:tc>
          <w:tcPr>
            <w:tcW w:w="6350" w:type="dxa"/>
          </w:tcPr>
          <w:p w14:paraId="6F49FAE7" w14:textId="77777777" w:rsidR="000B4C6D" w:rsidRPr="007818C7" w:rsidRDefault="000B4C6D" w:rsidP="00AE210F">
            <w:pPr>
              <w:cnfStyle w:val="000000000000" w:firstRow="0" w:lastRow="0" w:firstColumn="0" w:lastColumn="0" w:oddVBand="0" w:evenVBand="0" w:oddHBand="0" w:evenHBand="0" w:firstRowFirstColumn="0" w:firstRowLastColumn="0" w:lastRowFirstColumn="0" w:lastRowLastColumn="0"/>
              <w:rPr>
                <w:sz w:val="14"/>
                <w:szCs w:val="14"/>
              </w:rPr>
            </w:pPr>
            <w:r w:rsidRPr="007818C7">
              <w:rPr>
                <w:sz w:val="14"/>
                <w:szCs w:val="14"/>
              </w:rPr>
              <w:t>Initial draft to combine multiple password policy items into a central policy</w:t>
            </w:r>
          </w:p>
        </w:tc>
      </w:tr>
      <w:tr w:rsidR="000B4C6D" w:rsidRPr="007818C7" w14:paraId="106B7B31" w14:textId="77777777" w:rsidTr="2B18F497">
        <w:tc>
          <w:tcPr>
            <w:cnfStyle w:val="001000000000" w:firstRow="0" w:lastRow="0" w:firstColumn="1" w:lastColumn="0" w:oddVBand="0" w:evenVBand="0" w:oddHBand="0" w:evenHBand="0" w:firstRowFirstColumn="0" w:firstRowLastColumn="0" w:lastRowFirstColumn="0" w:lastRowLastColumn="0"/>
            <w:tcW w:w="842" w:type="dxa"/>
          </w:tcPr>
          <w:p w14:paraId="0D2398EF" w14:textId="62E7BB61" w:rsidR="000B4C6D" w:rsidRPr="007818C7" w:rsidRDefault="02B89FE7" w:rsidP="2B18F497">
            <w:pPr>
              <w:rPr>
                <w:sz w:val="14"/>
                <w:szCs w:val="14"/>
              </w:rPr>
            </w:pPr>
            <w:r w:rsidRPr="2B18F497">
              <w:rPr>
                <w:sz w:val="14"/>
                <w:szCs w:val="14"/>
              </w:rPr>
              <w:t>1.0</w:t>
            </w:r>
          </w:p>
        </w:tc>
        <w:tc>
          <w:tcPr>
            <w:tcW w:w="1278" w:type="dxa"/>
          </w:tcPr>
          <w:p w14:paraId="29AEAE4A" w14:textId="5FD89CEA" w:rsidR="000B4C6D" w:rsidRPr="007818C7" w:rsidRDefault="02B89FE7" w:rsidP="2B18F497">
            <w:pPr>
              <w:cnfStyle w:val="000000000000" w:firstRow="0" w:lastRow="0" w:firstColumn="0" w:lastColumn="0" w:oddVBand="0" w:evenVBand="0" w:oddHBand="0" w:evenHBand="0" w:firstRowFirstColumn="0" w:firstRowLastColumn="0" w:lastRowFirstColumn="0" w:lastRowLastColumn="0"/>
              <w:rPr>
                <w:sz w:val="14"/>
                <w:szCs w:val="14"/>
              </w:rPr>
            </w:pPr>
            <w:r w:rsidRPr="2B18F497">
              <w:rPr>
                <w:sz w:val="14"/>
                <w:szCs w:val="14"/>
              </w:rPr>
              <w:t>30/09/2022</w:t>
            </w:r>
          </w:p>
        </w:tc>
        <w:tc>
          <w:tcPr>
            <w:tcW w:w="1986" w:type="dxa"/>
          </w:tcPr>
          <w:p w14:paraId="2D611FD4" w14:textId="06750423" w:rsidR="000B4C6D" w:rsidRPr="007818C7" w:rsidRDefault="02B89FE7" w:rsidP="2B18F497">
            <w:pPr>
              <w:cnfStyle w:val="000000000000" w:firstRow="0" w:lastRow="0" w:firstColumn="0" w:lastColumn="0" w:oddVBand="0" w:evenVBand="0" w:oddHBand="0" w:evenHBand="0" w:firstRowFirstColumn="0" w:firstRowLastColumn="0" w:lastRowFirstColumn="0" w:lastRowLastColumn="0"/>
              <w:rPr>
                <w:sz w:val="14"/>
                <w:szCs w:val="14"/>
              </w:rPr>
            </w:pPr>
            <w:r w:rsidRPr="2B18F497">
              <w:rPr>
                <w:sz w:val="14"/>
                <w:szCs w:val="14"/>
              </w:rPr>
              <w:t>David Henderson</w:t>
            </w:r>
          </w:p>
        </w:tc>
        <w:tc>
          <w:tcPr>
            <w:tcW w:w="6350" w:type="dxa"/>
          </w:tcPr>
          <w:p w14:paraId="020EE4C8" w14:textId="0F08436D" w:rsidR="000B4C6D" w:rsidRPr="007818C7" w:rsidRDefault="1876603C" w:rsidP="2B18F497">
            <w:pPr>
              <w:cnfStyle w:val="000000000000" w:firstRow="0" w:lastRow="0" w:firstColumn="0" w:lastColumn="0" w:oddVBand="0" w:evenVBand="0" w:oddHBand="0" w:evenHBand="0" w:firstRowFirstColumn="0" w:firstRowLastColumn="0" w:lastRowFirstColumn="0" w:lastRowLastColumn="0"/>
              <w:rPr>
                <w:sz w:val="14"/>
                <w:szCs w:val="14"/>
              </w:rPr>
            </w:pPr>
            <w:r w:rsidRPr="2B18F497">
              <w:rPr>
                <w:sz w:val="14"/>
                <w:szCs w:val="14"/>
              </w:rPr>
              <w:t>Initial publish</w:t>
            </w:r>
          </w:p>
        </w:tc>
      </w:tr>
      <w:tr w:rsidR="000B4C6D" w:rsidRPr="007818C7" w14:paraId="06405AC8" w14:textId="77777777" w:rsidTr="2B18F497">
        <w:tc>
          <w:tcPr>
            <w:cnfStyle w:val="001000000000" w:firstRow="0" w:lastRow="0" w:firstColumn="1" w:lastColumn="0" w:oddVBand="0" w:evenVBand="0" w:oddHBand="0" w:evenHBand="0" w:firstRowFirstColumn="0" w:firstRowLastColumn="0" w:lastRowFirstColumn="0" w:lastRowLastColumn="0"/>
            <w:tcW w:w="842" w:type="dxa"/>
          </w:tcPr>
          <w:p w14:paraId="0661B291" w14:textId="77777777" w:rsidR="000B4C6D" w:rsidRPr="007818C7" w:rsidRDefault="000B4C6D" w:rsidP="2B18F497">
            <w:pPr>
              <w:rPr>
                <w:sz w:val="14"/>
                <w:szCs w:val="14"/>
              </w:rPr>
            </w:pPr>
          </w:p>
        </w:tc>
        <w:tc>
          <w:tcPr>
            <w:tcW w:w="1278" w:type="dxa"/>
          </w:tcPr>
          <w:p w14:paraId="6D0C0BC9"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c>
          <w:tcPr>
            <w:tcW w:w="1986" w:type="dxa"/>
          </w:tcPr>
          <w:p w14:paraId="022D172F"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c>
          <w:tcPr>
            <w:tcW w:w="6350" w:type="dxa"/>
          </w:tcPr>
          <w:p w14:paraId="16DF0E9D"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r>
      <w:tr w:rsidR="000B4C6D" w:rsidRPr="007818C7" w14:paraId="7DF330A2" w14:textId="77777777" w:rsidTr="2B18F497">
        <w:tc>
          <w:tcPr>
            <w:cnfStyle w:val="001000000000" w:firstRow="0" w:lastRow="0" w:firstColumn="1" w:lastColumn="0" w:oddVBand="0" w:evenVBand="0" w:oddHBand="0" w:evenHBand="0" w:firstRowFirstColumn="0" w:firstRowLastColumn="0" w:lastRowFirstColumn="0" w:lastRowLastColumn="0"/>
            <w:tcW w:w="842" w:type="dxa"/>
          </w:tcPr>
          <w:p w14:paraId="6DE7688B" w14:textId="77777777" w:rsidR="000B4C6D" w:rsidRPr="007818C7" w:rsidRDefault="000B4C6D" w:rsidP="2B18F497">
            <w:pPr>
              <w:rPr>
                <w:sz w:val="14"/>
                <w:szCs w:val="14"/>
              </w:rPr>
            </w:pPr>
          </w:p>
        </w:tc>
        <w:tc>
          <w:tcPr>
            <w:tcW w:w="1278" w:type="dxa"/>
          </w:tcPr>
          <w:p w14:paraId="61A29E0C"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c>
          <w:tcPr>
            <w:tcW w:w="1986" w:type="dxa"/>
          </w:tcPr>
          <w:p w14:paraId="36960E72"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c>
          <w:tcPr>
            <w:tcW w:w="6350" w:type="dxa"/>
          </w:tcPr>
          <w:p w14:paraId="35B50E52" w14:textId="77777777" w:rsidR="000B4C6D" w:rsidRPr="007818C7" w:rsidRDefault="000B4C6D" w:rsidP="2B18F497">
            <w:pPr>
              <w:cnfStyle w:val="000000000000" w:firstRow="0" w:lastRow="0" w:firstColumn="0" w:lastColumn="0" w:oddVBand="0" w:evenVBand="0" w:oddHBand="0" w:evenHBand="0" w:firstRowFirstColumn="0" w:firstRowLastColumn="0" w:lastRowFirstColumn="0" w:lastRowLastColumn="0"/>
              <w:rPr>
                <w:sz w:val="14"/>
                <w:szCs w:val="14"/>
              </w:rPr>
            </w:pPr>
          </w:p>
        </w:tc>
      </w:tr>
    </w:tbl>
    <w:p w14:paraId="1C269C33" w14:textId="598AA6D7" w:rsidR="006D6A4B" w:rsidRDefault="006D6A4B" w:rsidP="006D6A4B">
      <w:pPr>
        <w:tabs>
          <w:tab w:val="left" w:pos="4230"/>
        </w:tabs>
        <w:rPr>
          <w:rStyle w:val="normaltextrun"/>
          <w:rFonts w:ascii="Calibri" w:hAnsi="Calibri" w:cs="Calibri"/>
          <w:b/>
          <w:bCs/>
          <w:color w:val="44546A" w:themeColor="text2"/>
          <w:sz w:val="32"/>
          <w:szCs w:val="32"/>
          <w:shd w:val="clear" w:color="auto" w:fill="FFFFFF"/>
        </w:rPr>
      </w:pPr>
      <w:r>
        <w:br/>
      </w:r>
      <w:r>
        <w:rPr>
          <w:rStyle w:val="normaltextrun"/>
          <w:rFonts w:ascii="Calibri Light" w:hAnsi="Calibri Light" w:cs="Calibri Light"/>
          <w:b/>
          <w:bCs/>
          <w:color w:val="8F3E51"/>
          <w:sz w:val="32"/>
          <w:szCs w:val="32"/>
          <w:shd w:val="clear" w:color="auto" w:fill="FFFFFF"/>
          <w:lang w:val="en-US"/>
        </w:rPr>
        <w:t>Document Owner</w:t>
      </w:r>
      <w:r>
        <w:rPr>
          <w:rStyle w:val="normaltextrun"/>
          <w:rFonts w:ascii="Calibri" w:hAnsi="Calibri" w:cs="Calibri"/>
          <w:b/>
          <w:bCs/>
          <w:color w:val="000000"/>
          <w:shd w:val="clear" w:color="auto" w:fill="FFFFFF"/>
        </w:rPr>
        <w:t xml:space="preserve"> </w:t>
      </w:r>
      <w:r>
        <w:rPr>
          <w:rStyle w:val="normaltextrun"/>
          <w:rFonts w:ascii="Calibri" w:hAnsi="Calibri" w:cs="Calibri"/>
          <w:b/>
          <w:bCs/>
          <w:color w:val="44546A" w:themeColor="text2"/>
          <w:sz w:val="32"/>
          <w:szCs w:val="32"/>
          <w:shd w:val="clear" w:color="auto" w:fill="FFFFFF"/>
        </w:rPr>
        <w:t>IT</w:t>
      </w:r>
    </w:p>
    <w:p w14:paraId="775E906D" w14:textId="4BCC1FB5" w:rsidR="007910A2" w:rsidRPr="00B3102E" w:rsidRDefault="007910A2" w:rsidP="000D7AFA">
      <w:pPr>
        <w:pStyle w:val="Heading1"/>
        <w:numPr>
          <w:ilvl w:val="0"/>
          <w:numId w:val="10"/>
        </w:numPr>
      </w:pPr>
      <w:r w:rsidRPr="00B3102E">
        <w:t>Introduction</w:t>
      </w:r>
    </w:p>
    <w:p w14:paraId="70E943EF" w14:textId="75536BC2" w:rsidR="00651766" w:rsidRPr="007D0450" w:rsidRDefault="00817A2B" w:rsidP="007D0450">
      <w:r w:rsidRPr="007D0450">
        <w:t xml:space="preserve">Facilities and Internal IT are responsible for managing access in and around the </w:t>
      </w:r>
      <w:r w:rsidR="00C14ECA" w:rsidRPr="007D0450">
        <w:t xml:space="preserve">organisation. </w:t>
      </w:r>
      <w:r w:rsidR="004C5357" w:rsidRPr="007D0450">
        <w:t>The following</w:t>
      </w:r>
      <w:r w:rsidR="00C14ECA" w:rsidRPr="007D0450">
        <w:t xml:space="preserve"> key</w:t>
      </w:r>
      <w:r w:rsidR="004C5357" w:rsidRPr="007D0450">
        <w:t xml:space="preserve"> business</w:t>
      </w:r>
      <w:r w:rsidR="00C14ECA" w:rsidRPr="007D0450">
        <w:t xml:space="preserve"> objective can be </w:t>
      </w:r>
      <w:r w:rsidR="00472CD2" w:rsidRPr="007D0450">
        <w:t>fully or partially met</w:t>
      </w:r>
      <w:r w:rsidR="00C14ECA" w:rsidRPr="007D0450">
        <w:t xml:space="preserve"> using physical access controls</w:t>
      </w:r>
      <w:r w:rsidR="004C5357" w:rsidRPr="007D0450">
        <w:t>:</w:t>
      </w:r>
      <w:r w:rsidR="00B00BB6">
        <w:br/>
      </w:r>
      <w:r w:rsidR="00567DD8" w:rsidRPr="007D0450">
        <w:t>Staff safety</w:t>
      </w:r>
      <w:r w:rsidR="00472CD2" w:rsidRPr="007D0450">
        <w:t xml:space="preserve"> by not allowing </w:t>
      </w:r>
      <w:r w:rsidR="00F44631" w:rsidRPr="007D0450">
        <w:t>unknown members of the public into the operational areas of the building</w:t>
      </w:r>
      <w:r w:rsidR="00B00BB6">
        <w:t xml:space="preserve"> where staff reside</w:t>
      </w:r>
      <w:r w:rsidR="00F44631" w:rsidRPr="007D0450">
        <w:t xml:space="preserve">. </w:t>
      </w:r>
      <w:r w:rsidR="00A97B7B" w:rsidRPr="007D0450">
        <w:t xml:space="preserve">Protect against </w:t>
      </w:r>
      <w:r w:rsidR="006D00D4" w:rsidRPr="007D0450">
        <w:t>losses</w:t>
      </w:r>
      <w:r w:rsidR="00A97B7B" w:rsidRPr="007D0450">
        <w:t xml:space="preserve"> by restricting access to high value </w:t>
      </w:r>
      <w:r w:rsidR="006D00D4" w:rsidRPr="007D0450">
        <w:t xml:space="preserve">areas to only those that require it. Improve information and data security and privacy by only allowing those </w:t>
      </w:r>
      <w:r w:rsidR="0043274D" w:rsidRPr="007D0450">
        <w:t>authorised to access data processing</w:t>
      </w:r>
      <w:r w:rsidR="001F0986">
        <w:t xml:space="preserve"> facilities to do so</w:t>
      </w:r>
      <w:r w:rsidR="0043274D" w:rsidRPr="007D0450">
        <w:t>.</w:t>
      </w:r>
      <w:r w:rsidR="00F10D2E">
        <w:t xml:space="preserve"> </w:t>
      </w:r>
      <w:r w:rsidR="00E52C25">
        <w:t>The system also aids t</w:t>
      </w:r>
      <w:r w:rsidR="00F10D2E">
        <w:t xml:space="preserve">rack clocking information </w:t>
      </w:r>
      <w:r w:rsidR="00FC6282">
        <w:t xml:space="preserve">for presents and </w:t>
      </w:r>
      <w:r w:rsidR="00DC6990">
        <w:t>punctuality.</w:t>
      </w:r>
      <w:r w:rsidR="00E52C25">
        <w:t xml:space="preserve"> </w:t>
      </w:r>
    </w:p>
    <w:p w14:paraId="0B708656" w14:textId="25659F00" w:rsidR="00F5542D" w:rsidRPr="007D0450" w:rsidRDefault="000513ED" w:rsidP="007D0450">
      <w:r w:rsidRPr="007D0450">
        <w:t xml:space="preserve">With the organisation growing organisation wide familiarity of staff is reducing and continuing to do so. It is important to be able to quick and safely identify staff, </w:t>
      </w:r>
      <w:proofErr w:type="gramStart"/>
      <w:r w:rsidRPr="007D0450">
        <w:t>Contractors</w:t>
      </w:r>
      <w:proofErr w:type="gramEnd"/>
      <w:r w:rsidRPr="007D0450">
        <w:t xml:space="preserve"> and Visitors. Ensure</w:t>
      </w:r>
      <w:r w:rsidR="003C33B8" w:rsidRPr="007D0450">
        <w:t xml:space="preserve"> that data and staff</w:t>
      </w:r>
      <w:r w:rsidRPr="007D0450">
        <w:t xml:space="preserve"> security requirements, and health and safety requirements are always met.</w:t>
      </w:r>
    </w:p>
    <w:p w14:paraId="16CB22B5" w14:textId="313DBDB2" w:rsidR="000D7AFA" w:rsidRPr="00B3102E" w:rsidRDefault="000D7AFA" w:rsidP="000D7AFA">
      <w:pPr>
        <w:pStyle w:val="Heading1"/>
        <w:numPr>
          <w:ilvl w:val="0"/>
          <w:numId w:val="10"/>
        </w:numPr>
      </w:pPr>
      <w:r w:rsidRPr="00B3102E">
        <w:t>Policy Objectives</w:t>
      </w:r>
    </w:p>
    <w:p w14:paraId="077AE918" w14:textId="69A2E079" w:rsidR="007E6449" w:rsidRPr="00B3102E" w:rsidRDefault="007E6449" w:rsidP="00420AB1">
      <w:pPr>
        <w:pStyle w:val="ListParagraph"/>
        <w:numPr>
          <w:ilvl w:val="1"/>
          <w:numId w:val="10"/>
        </w:numPr>
      </w:pPr>
      <w:r w:rsidRPr="00B3102E">
        <w:t>This policy is to identify the requirement for staff</w:t>
      </w:r>
      <w:r w:rsidR="00C81F7A">
        <w:t>,</w:t>
      </w:r>
      <w:r w:rsidRPr="00B3102E">
        <w:t xml:space="preserve"> </w:t>
      </w:r>
      <w:r w:rsidR="00E3707F" w:rsidRPr="00B3102E">
        <w:t>contractors,</w:t>
      </w:r>
      <w:r w:rsidRPr="00B3102E">
        <w:t xml:space="preserve"> and visitors with regards to physical door acces</w:t>
      </w:r>
      <w:r w:rsidR="004010BC">
        <w:t>s and</w:t>
      </w:r>
      <w:r w:rsidR="00535950">
        <w:t xml:space="preserve"> ID and Key management.</w:t>
      </w:r>
    </w:p>
    <w:p w14:paraId="53DCBB20" w14:textId="5A47E349" w:rsidR="003044D5" w:rsidRPr="00B3102E" w:rsidRDefault="00982B04" w:rsidP="00847540">
      <w:pPr>
        <w:pStyle w:val="Heading1"/>
      </w:pPr>
      <w:r w:rsidRPr="00B3102E">
        <w:t>Definitions</w:t>
      </w:r>
    </w:p>
    <w:tbl>
      <w:tblPr>
        <w:tblStyle w:val="GridTable1Light-Accent2"/>
        <w:tblW w:w="0" w:type="auto"/>
        <w:tblLook w:val="04A0" w:firstRow="1" w:lastRow="0" w:firstColumn="1" w:lastColumn="0" w:noHBand="0" w:noVBand="1"/>
      </w:tblPr>
      <w:tblGrid>
        <w:gridCol w:w="2976"/>
        <w:gridCol w:w="7054"/>
      </w:tblGrid>
      <w:tr w:rsidR="00AA1FE0" w:rsidRPr="00B3102E" w14:paraId="2DD7F600" w14:textId="77777777" w:rsidTr="00A84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44388324" w14:textId="2DE485AF" w:rsidR="00AA1FE0" w:rsidRPr="00B3102E" w:rsidRDefault="00AA1FE0" w:rsidP="00AA1FE0">
            <w:pPr>
              <w:rPr>
                <w:b w:val="0"/>
                <w:bCs w:val="0"/>
              </w:rPr>
            </w:pPr>
            <w:r w:rsidRPr="007818C7">
              <w:rPr>
                <w:b w:val="0"/>
                <w:bCs w:val="0"/>
                <w:i/>
                <w:iCs/>
                <w:sz w:val="20"/>
                <w:szCs w:val="20"/>
              </w:rPr>
              <w:t>Definition</w:t>
            </w:r>
          </w:p>
        </w:tc>
        <w:tc>
          <w:tcPr>
            <w:tcW w:w="7054" w:type="dxa"/>
          </w:tcPr>
          <w:p w14:paraId="470BE188" w14:textId="32E94C06" w:rsidR="00AA1FE0" w:rsidRPr="00B3102E" w:rsidRDefault="00AA1FE0" w:rsidP="00AA1FE0">
            <w:pPr>
              <w:cnfStyle w:val="100000000000" w:firstRow="1" w:lastRow="0" w:firstColumn="0" w:lastColumn="0" w:oddVBand="0" w:evenVBand="0" w:oddHBand="0" w:evenHBand="0" w:firstRowFirstColumn="0" w:firstRowLastColumn="0" w:lastRowFirstColumn="0" w:lastRowLastColumn="0"/>
            </w:pPr>
            <w:r w:rsidRPr="007818C7">
              <w:rPr>
                <w:b w:val="0"/>
                <w:bCs w:val="0"/>
                <w:i/>
                <w:iCs/>
                <w:sz w:val="20"/>
                <w:szCs w:val="20"/>
              </w:rPr>
              <w:t>Meaning</w:t>
            </w:r>
          </w:p>
        </w:tc>
      </w:tr>
      <w:tr w:rsidR="00AA1FE0" w:rsidRPr="00B3102E" w14:paraId="1A09ACE0" w14:textId="77777777" w:rsidTr="00A84CC5">
        <w:tc>
          <w:tcPr>
            <w:cnfStyle w:val="001000000000" w:firstRow="0" w:lastRow="0" w:firstColumn="1" w:lastColumn="0" w:oddVBand="0" w:evenVBand="0" w:oddHBand="0" w:evenHBand="0" w:firstRowFirstColumn="0" w:firstRowLastColumn="0" w:lastRowFirstColumn="0" w:lastRowLastColumn="0"/>
            <w:tcW w:w="2976" w:type="dxa"/>
          </w:tcPr>
          <w:p w14:paraId="6EE518A2" w14:textId="0AA7CF98" w:rsidR="00AA1FE0" w:rsidRPr="00B3102E" w:rsidRDefault="00AA1FE0" w:rsidP="00AA1FE0">
            <w:pPr>
              <w:rPr>
                <w:b w:val="0"/>
                <w:bCs w:val="0"/>
              </w:rPr>
            </w:pPr>
            <w:r w:rsidRPr="00B3102E">
              <w:t>Physical Access keys:</w:t>
            </w:r>
          </w:p>
        </w:tc>
        <w:tc>
          <w:tcPr>
            <w:tcW w:w="7054" w:type="dxa"/>
          </w:tcPr>
          <w:p w14:paraId="65EEED12" w14:textId="1A4866D9" w:rsidR="00AA1FE0" w:rsidRPr="00B3102E" w:rsidRDefault="00AA1FE0" w:rsidP="00AA1FE0">
            <w:pPr>
              <w:cnfStyle w:val="000000000000" w:firstRow="0" w:lastRow="0" w:firstColumn="0" w:lastColumn="0" w:oddVBand="0" w:evenVBand="0" w:oddHBand="0" w:evenHBand="0" w:firstRowFirstColumn="0" w:firstRowLastColumn="0" w:lastRowFirstColumn="0" w:lastRowLastColumn="0"/>
            </w:pPr>
            <w:r w:rsidRPr="00B3102E">
              <w:t>ID cards, Electronic Keys, mechanical Keys Fobs, MFA devices these are physical items that permit access to secure location or lock boxes.</w:t>
            </w:r>
            <w:r w:rsidRPr="00B3102E">
              <w:br/>
            </w:r>
          </w:p>
        </w:tc>
      </w:tr>
      <w:tr w:rsidR="00AA1FE0" w:rsidRPr="00B3102E" w14:paraId="065392C7" w14:textId="77777777" w:rsidTr="00A84CC5">
        <w:tc>
          <w:tcPr>
            <w:cnfStyle w:val="001000000000" w:firstRow="0" w:lastRow="0" w:firstColumn="1" w:lastColumn="0" w:oddVBand="0" w:evenVBand="0" w:oddHBand="0" w:evenHBand="0" w:firstRowFirstColumn="0" w:firstRowLastColumn="0" w:lastRowFirstColumn="0" w:lastRowLastColumn="0"/>
            <w:tcW w:w="2976" w:type="dxa"/>
          </w:tcPr>
          <w:p w14:paraId="0039BEFB" w14:textId="0510CE0C" w:rsidR="00AA1FE0" w:rsidRPr="00B3102E" w:rsidRDefault="00AA1FE0" w:rsidP="00AA1FE0">
            <w:pPr>
              <w:rPr>
                <w:b w:val="0"/>
                <w:bCs w:val="0"/>
              </w:rPr>
            </w:pPr>
            <w:r w:rsidRPr="00B3102E">
              <w:t>Access controls equipment</w:t>
            </w:r>
          </w:p>
        </w:tc>
        <w:tc>
          <w:tcPr>
            <w:tcW w:w="7054" w:type="dxa"/>
          </w:tcPr>
          <w:p w14:paraId="4260601A" w14:textId="60CADF03" w:rsidR="00AA1FE0" w:rsidRPr="00B3102E" w:rsidRDefault="00AA1FE0" w:rsidP="00AA1FE0">
            <w:pPr>
              <w:cnfStyle w:val="000000000000" w:firstRow="0" w:lastRow="0" w:firstColumn="0" w:lastColumn="0" w:oddVBand="0" w:evenVBand="0" w:oddHBand="0" w:evenHBand="0" w:firstRowFirstColumn="0" w:firstRowLastColumn="0" w:lastRowFirstColumn="0" w:lastRowLastColumn="0"/>
            </w:pPr>
            <w:r w:rsidRPr="00B3102E">
              <w:t>All equipment that is used to impede or deny physical access to an area such as an Electronically locked door, Barrier, Turn style, Mechanical bollards.</w:t>
            </w:r>
          </w:p>
        </w:tc>
      </w:tr>
    </w:tbl>
    <w:p w14:paraId="084BB73F" w14:textId="30D0E9EE" w:rsidR="000D7AFA" w:rsidRDefault="00AA1FE0" w:rsidP="000D7AFA">
      <w:pPr>
        <w:pStyle w:val="Heading1"/>
        <w:numPr>
          <w:ilvl w:val="0"/>
          <w:numId w:val="10"/>
        </w:numPr>
      </w:pPr>
      <w:r>
        <w:t xml:space="preserve">Applicability </w:t>
      </w:r>
    </w:p>
    <w:p w14:paraId="3DD8C765" w14:textId="555B9460" w:rsidR="000408D6" w:rsidRDefault="00F659F6" w:rsidP="000D7AFA">
      <w:r>
        <w:t xml:space="preserve">This policy applies to all activities where </w:t>
      </w:r>
      <w:r w:rsidR="000408D6">
        <w:t>you are</w:t>
      </w:r>
      <w:r>
        <w:t xml:space="preserve"> required physical access to any </w:t>
      </w:r>
      <w:r w:rsidR="00A149CD">
        <w:t>location within the building.</w:t>
      </w:r>
      <w:r w:rsidR="003133FE">
        <w:t xml:space="preserve"> </w:t>
      </w:r>
    </w:p>
    <w:p w14:paraId="0F8A16D7" w14:textId="6676B87E" w:rsidR="002009EC" w:rsidRDefault="002009EC" w:rsidP="000D7AFA">
      <w:r>
        <w:t>You request a visitor to attend the premises.</w:t>
      </w:r>
    </w:p>
    <w:p w14:paraId="1FCAE0CD" w14:textId="503EBD01" w:rsidR="009926B3" w:rsidRDefault="004C144B" w:rsidP="009926B3">
      <w:pPr>
        <w:pStyle w:val="Heading1"/>
        <w:numPr>
          <w:ilvl w:val="0"/>
          <w:numId w:val="10"/>
        </w:numPr>
      </w:pPr>
      <w:r>
        <w:t>controls</w:t>
      </w:r>
    </w:p>
    <w:p w14:paraId="48C5E3B1" w14:textId="40FFFE4C" w:rsidR="009926B3" w:rsidRDefault="00D3576F" w:rsidP="009926B3">
      <w:pPr>
        <w:pStyle w:val="Heading2"/>
        <w:numPr>
          <w:ilvl w:val="1"/>
          <w:numId w:val="10"/>
        </w:numPr>
      </w:pPr>
      <w:r w:rsidRPr="00B3102E">
        <w:t>Access card</w:t>
      </w:r>
      <w:r w:rsidR="00182E2A" w:rsidRPr="00B3102E">
        <w:t>s/ ID badges</w:t>
      </w:r>
    </w:p>
    <w:p w14:paraId="42A1E35D" w14:textId="23FF20C2" w:rsidR="00216A92" w:rsidRDefault="005842F3" w:rsidP="00216A92">
      <w:r>
        <w:t>ID card</w:t>
      </w:r>
      <w:r w:rsidR="005E113D">
        <w:t>s and passes</w:t>
      </w:r>
      <w:r>
        <w:t xml:space="preserve"> can help identify</w:t>
      </w:r>
      <w:r w:rsidR="005E113D">
        <w:t xml:space="preserve"> </w:t>
      </w:r>
      <w:r w:rsidR="00F22D3E">
        <w:t>unfamiliar</w:t>
      </w:r>
      <w:r w:rsidR="005E113D">
        <w:t xml:space="preserve"> faces</w:t>
      </w:r>
      <w:r w:rsidR="00685EC3">
        <w:t>. Identify visitors</w:t>
      </w:r>
      <w:r w:rsidR="0027765B">
        <w:t xml:space="preserve"> </w:t>
      </w:r>
      <w:r w:rsidR="00ED2C83">
        <w:t xml:space="preserve">by staff </w:t>
      </w:r>
      <w:r w:rsidR="0027765B">
        <w:t xml:space="preserve">and identify staff by visitors. </w:t>
      </w:r>
      <w:r w:rsidR="00233DDF">
        <w:t>ID passes also provide a</w:t>
      </w:r>
      <w:r w:rsidR="00753C36">
        <w:t xml:space="preserve"> mechanism to</w:t>
      </w:r>
      <w:r w:rsidR="00233DDF">
        <w:t xml:space="preserve"> electronically identify a user</w:t>
      </w:r>
      <w:r w:rsidR="00216A92">
        <w:t>,</w:t>
      </w:r>
      <w:r w:rsidR="00753C36">
        <w:t xml:space="preserve"> allowing or denying them access to an area</w:t>
      </w:r>
      <w:r w:rsidR="00AF1563">
        <w:t xml:space="preserve">. Because </w:t>
      </w:r>
      <w:r w:rsidR="007E6475">
        <w:t xml:space="preserve">the </w:t>
      </w:r>
      <w:r w:rsidR="007E6475">
        <w:lastRenderedPageBreak/>
        <w:t xml:space="preserve">ID card can be tracked around the </w:t>
      </w:r>
      <w:r w:rsidR="00E2319F">
        <w:t>premises,</w:t>
      </w:r>
      <w:r w:rsidR="007E6475">
        <w:t xml:space="preserve"> they are also used in the event of a</w:t>
      </w:r>
      <w:r w:rsidR="00E2319F">
        <w:t>n</w:t>
      </w:r>
      <w:r w:rsidR="00AC7753">
        <w:t xml:space="preserve"> evacuation to identify your last known location and generate a roll call of who have been in the building.</w:t>
      </w:r>
      <w:r w:rsidR="00A11E99">
        <w:t xml:space="preserve"> Due to </w:t>
      </w:r>
      <w:r w:rsidR="00A34EB8">
        <w:t>access,</w:t>
      </w:r>
      <w:r w:rsidR="00A11E99">
        <w:t xml:space="preserve"> they </w:t>
      </w:r>
      <w:r w:rsidR="00E2319F">
        <w:t>grant,</w:t>
      </w:r>
      <w:r w:rsidR="00A11E99">
        <w:t xml:space="preserve"> and the health and safety demand placed on the </w:t>
      </w:r>
      <w:r w:rsidR="00E2319F">
        <w:t xml:space="preserve">system various controls are required to ensure they are used correctly </w:t>
      </w:r>
    </w:p>
    <w:p w14:paraId="0319866C" w14:textId="579C50BC" w:rsidR="009926B3" w:rsidRDefault="00216A92" w:rsidP="00216A92">
      <w:pPr>
        <w:pStyle w:val="ListParagraph"/>
        <w:numPr>
          <w:ilvl w:val="2"/>
          <w:numId w:val="10"/>
        </w:numPr>
      </w:pPr>
      <w:r>
        <w:t>E</w:t>
      </w:r>
      <w:r w:rsidR="003044D5" w:rsidRPr="00B3102E">
        <w:t>mployees</w:t>
      </w:r>
      <w:r w:rsidR="00182E2A" w:rsidRPr="00B3102E">
        <w:t xml:space="preserve"> </w:t>
      </w:r>
    </w:p>
    <w:p w14:paraId="1B70FD0E" w14:textId="68DD0BC5" w:rsidR="004A074E" w:rsidRPr="00B3102E" w:rsidRDefault="004A074E" w:rsidP="00216A92">
      <w:pPr>
        <w:pStyle w:val="ListParagraph"/>
        <w:numPr>
          <w:ilvl w:val="3"/>
          <w:numId w:val="10"/>
        </w:numPr>
        <w:ind w:left="1701"/>
      </w:pPr>
      <w:r w:rsidRPr="00B3102E">
        <w:t>All employees must be issued an ID card.</w:t>
      </w:r>
      <w:r w:rsidR="009742CF" w:rsidRPr="00B3102E">
        <w:t xml:space="preserve"> (For identification and security purposes)</w:t>
      </w:r>
    </w:p>
    <w:p w14:paraId="199C63D8" w14:textId="08B23A6E" w:rsidR="00AB20C9" w:rsidRPr="00B3102E" w:rsidRDefault="00AB20C9" w:rsidP="003A49DC">
      <w:pPr>
        <w:pStyle w:val="ListParagraph"/>
        <w:numPr>
          <w:ilvl w:val="3"/>
          <w:numId w:val="10"/>
        </w:numPr>
      </w:pPr>
      <w:r w:rsidRPr="00B3102E">
        <w:t xml:space="preserve">All cards must </w:t>
      </w:r>
      <w:r w:rsidR="008351D1" w:rsidRPr="00B3102E">
        <w:t>use unique assigned access ID</w:t>
      </w:r>
      <w:r w:rsidR="009742CF" w:rsidRPr="00B3102E">
        <w:t>.</w:t>
      </w:r>
      <w:r w:rsidR="00434FC7" w:rsidRPr="00B3102E">
        <w:t xml:space="preserve"> (</w:t>
      </w:r>
      <w:r w:rsidR="00A930FA" w:rsidRPr="00B3102E">
        <w:t>To reserve integrity of event data</w:t>
      </w:r>
      <w:r w:rsidR="00434FC7" w:rsidRPr="00B3102E">
        <w:t>)</w:t>
      </w:r>
    </w:p>
    <w:p w14:paraId="62A8119B" w14:textId="23F21F96" w:rsidR="00257AD1" w:rsidRPr="00B3102E" w:rsidRDefault="002018B4" w:rsidP="003A49DC">
      <w:pPr>
        <w:pStyle w:val="ListParagraph"/>
        <w:numPr>
          <w:ilvl w:val="3"/>
          <w:numId w:val="10"/>
        </w:numPr>
      </w:pPr>
      <w:r w:rsidRPr="00B3102E">
        <w:t xml:space="preserve">All </w:t>
      </w:r>
      <w:r w:rsidR="00B66586" w:rsidRPr="00B3102E">
        <w:t>cards</w:t>
      </w:r>
      <w:r w:rsidR="00A0427F" w:rsidRPr="00B3102E">
        <w:t xml:space="preserve"> must be uniquely identifiable </w:t>
      </w:r>
      <w:r w:rsidR="00D1149C" w:rsidRPr="00B3102E">
        <w:t xml:space="preserve">visually and digitally </w:t>
      </w:r>
      <w:r w:rsidR="00A0427F" w:rsidRPr="00B3102E">
        <w:t>including Full Name, and Photo that marks a true resemblance to the card</w:t>
      </w:r>
      <w:r w:rsidR="0071626C" w:rsidRPr="00B3102E">
        <w:t xml:space="preserve"> holder. This is to identify and deter misuse </w:t>
      </w:r>
      <w:r w:rsidR="003D071D" w:rsidRPr="00B3102E">
        <w:t>(</w:t>
      </w:r>
      <w:r w:rsidR="00971AFC" w:rsidRPr="00B3102E">
        <w:t>imposter, falsify clocking information, and sharing cards)</w:t>
      </w:r>
    </w:p>
    <w:p w14:paraId="02DC63E7" w14:textId="05AC762F" w:rsidR="00971AFC" w:rsidRDefault="00257AD1" w:rsidP="003A49DC">
      <w:pPr>
        <w:pStyle w:val="ListParagraph"/>
        <w:numPr>
          <w:ilvl w:val="3"/>
          <w:numId w:val="10"/>
        </w:numPr>
      </w:pPr>
      <w:r w:rsidRPr="00B3102E">
        <w:t>It is prohibited to</w:t>
      </w:r>
      <w:r w:rsidR="00A92A10" w:rsidRPr="00B3102E">
        <w:t xml:space="preserve"> share use of </w:t>
      </w:r>
      <w:r w:rsidRPr="00B3102E">
        <w:t>and issued</w:t>
      </w:r>
      <w:r w:rsidR="00A92A10" w:rsidRPr="00B3102E">
        <w:t xml:space="preserve"> Access token</w:t>
      </w:r>
      <w:r w:rsidR="00A930FA" w:rsidRPr="00B3102E">
        <w:t>.</w:t>
      </w:r>
      <w:r w:rsidR="007A2D1A" w:rsidRPr="00B3102E">
        <w:t xml:space="preserve"> (</w:t>
      </w:r>
      <w:proofErr w:type="gramStart"/>
      <w:r w:rsidR="007A2D1A" w:rsidRPr="00B3102E">
        <w:t>for</w:t>
      </w:r>
      <w:proofErr w:type="gramEnd"/>
      <w:r w:rsidR="007A2D1A" w:rsidRPr="00B3102E">
        <w:t xml:space="preserve"> security, fraud </w:t>
      </w:r>
      <w:proofErr w:type="spellStart"/>
      <w:r w:rsidR="007A2D1A" w:rsidRPr="00B3102E">
        <w:t>ie</w:t>
      </w:r>
      <w:proofErr w:type="spellEnd"/>
      <w:r w:rsidR="007A2D1A" w:rsidRPr="00B3102E">
        <w:t xml:space="preserve"> clocking info and health and safety reasons)</w:t>
      </w:r>
    </w:p>
    <w:p w14:paraId="44936F8C" w14:textId="3D12F661" w:rsidR="00257AD1" w:rsidRPr="00B3102E" w:rsidRDefault="00257AD1" w:rsidP="003A49DC">
      <w:pPr>
        <w:pStyle w:val="ListParagraph"/>
        <w:numPr>
          <w:ilvl w:val="3"/>
          <w:numId w:val="10"/>
        </w:numPr>
      </w:pPr>
      <w:r w:rsidRPr="00B3102E">
        <w:t xml:space="preserve">Must </w:t>
      </w:r>
      <w:r w:rsidR="002805BF" w:rsidRPr="00B3102E">
        <w:t xml:space="preserve">identify the holder as an employee of Microlink </w:t>
      </w:r>
      <w:r w:rsidR="00790F98" w:rsidRPr="00B3102E">
        <w:t xml:space="preserve">(use the </w:t>
      </w:r>
      <w:r w:rsidR="0058477F" w:rsidRPr="003A49DC">
        <w:rPr>
          <w:b/>
          <w:color w:val="72A2BD" w:themeColor="accent2" w:themeTint="99"/>
        </w:rPr>
        <w:t>BLUE</w:t>
      </w:r>
      <w:r w:rsidR="0058477F" w:rsidRPr="00B3102E">
        <w:t xml:space="preserve"> </w:t>
      </w:r>
      <w:r w:rsidR="00790F98" w:rsidRPr="00B3102E">
        <w:t>design</w:t>
      </w:r>
      <w:r w:rsidR="003C1752" w:rsidRPr="00B3102E">
        <w:t xml:space="preserve"> for security reasons)</w:t>
      </w:r>
    </w:p>
    <w:p w14:paraId="1B82B29E" w14:textId="5A3B531E" w:rsidR="00A84C99" w:rsidRPr="00B3102E" w:rsidRDefault="4873C0FF" w:rsidP="003A49DC">
      <w:pPr>
        <w:pStyle w:val="ListParagraph"/>
        <w:numPr>
          <w:ilvl w:val="3"/>
          <w:numId w:val="10"/>
        </w:numPr>
      </w:pPr>
      <w:r w:rsidRPr="00B3102E">
        <w:t xml:space="preserve">It is the employee’s responsibility to </w:t>
      </w:r>
      <w:r w:rsidR="00CA41DE">
        <w:t xml:space="preserve">ensure </w:t>
      </w:r>
      <w:r w:rsidRPr="00B3102E">
        <w:t xml:space="preserve">ID badge </w:t>
      </w:r>
      <w:r w:rsidR="00CA41DE">
        <w:t xml:space="preserve">kept </w:t>
      </w:r>
      <w:r w:rsidRPr="00B3102E">
        <w:t xml:space="preserve">on display. Those who frequently forget their ID card or fail to wear it on display will be subject to </w:t>
      </w:r>
      <w:r w:rsidR="00616F80" w:rsidRPr="00B3102E">
        <w:t>disciplinary action</w:t>
      </w:r>
      <w:r w:rsidRPr="00B3102E">
        <w:t>.</w:t>
      </w:r>
    </w:p>
    <w:p w14:paraId="1BA18CCE" w14:textId="78E78409" w:rsidR="003A49DC" w:rsidRDefault="4873C0FF" w:rsidP="003A49DC">
      <w:pPr>
        <w:pStyle w:val="ListParagraph"/>
        <w:numPr>
          <w:ilvl w:val="3"/>
          <w:numId w:val="10"/>
        </w:numPr>
      </w:pPr>
      <w:r w:rsidRPr="00B3102E">
        <w:t xml:space="preserve">All employees responsible for informing IT department of any change to number plates ownership that has been registered with IT (registering number plates is not </w:t>
      </w:r>
      <w:r w:rsidR="00735527" w:rsidRPr="00B3102E">
        <w:t>mandatory</w:t>
      </w:r>
      <w:r w:rsidRPr="00B3102E">
        <w:t>)</w:t>
      </w:r>
      <w:r w:rsidR="003A49DC">
        <w:br/>
      </w:r>
    </w:p>
    <w:p w14:paraId="5E9A823D" w14:textId="3AA3091E" w:rsidR="003044D5" w:rsidRPr="00B3102E" w:rsidRDefault="003044D5" w:rsidP="003A49DC">
      <w:pPr>
        <w:pStyle w:val="ListParagraph"/>
        <w:numPr>
          <w:ilvl w:val="2"/>
          <w:numId w:val="10"/>
        </w:numPr>
      </w:pPr>
      <w:r w:rsidRPr="00B3102E">
        <w:t>Contractors</w:t>
      </w:r>
    </w:p>
    <w:p w14:paraId="629F140F" w14:textId="2E98C913" w:rsidR="00790F98" w:rsidRPr="00B3102E" w:rsidRDefault="00790F98" w:rsidP="003A49DC">
      <w:pPr>
        <w:pStyle w:val="ListParagraph"/>
        <w:numPr>
          <w:ilvl w:val="3"/>
          <w:numId w:val="10"/>
        </w:numPr>
      </w:pPr>
      <w:r w:rsidRPr="00B3102E">
        <w:t xml:space="preserve">Long term </w:t>
      </w:r>
      <w:r w:rsidR="00D57EB5" w:rsidRPr="00B3102E">
        <w:t xml:space="preserve">contractors or contractors that visit the site regularly may be issued an </w:t>
      </w:r>
      <w:r w:rsidR="004C144B" w:rsidRPr="00B3102E">
        <w:t>ID card</w:t>
      </w:r>
      <w:r w:rsidR="004A074E" w:rsidRPr="00B3102E">
        <w:t xml:space="preserve"> with approval from </w:t>
      </w:r>
      <w:r w:rsidR="00BB2E4F" w:rsidRPr="00B3102E">
        <w:t>C</w:t>
      </w:r>
      <w:r w:rsidR="004A074E" w:rsidRPr="00B3102E">
        <w:t xml:space="preserve">EO, </w:t>
      </w:r>
      <w:r w:rsidR="00E3707F" w:rsidRPr="00B3102E">
        <w:t>MD,</w:t>
      </w:r>
      <w:r w:rsidR="004A074E" w:rsidRPr="00B3102E">
        <w:t xml:space="preserve"> or COO</w:t>
      </w:r>
      <w:r w:rsidR="00CD71AD" w:rsidRPr="00B3102E">
        <w:t>.</w:t>
      </w:r>
    </w:p>
    <w:p w14:paraId="32F79043" w14:textId="3242392B" w:rsidR="00CD71AD" w:rsidRPr="00B3102E" w:rsidRDefault="00CD71AD" w:rsidP="003A49DC">
      <w:pPr>
        <w:pStyle w:val="ListParagraph"/>
        <w:numPr>
          <w:ilvl w:val="3"/>
          <w:numId w:val="10"/>
        </w:numPr>
      </w:pPr>
      <w:r w:rsidRPr="00B3102E">
        <w:t xml:space="preserve">All </w:t>
      </w:r>
      <w:r w:rsidR="004C144B" w:rsidRPr="00B3102E">
        <w:t>cards</w:t>
      </w:r>
      <w:r w:rsidRPr="00B3102E">
        <w:t xml:space="preserve"> must be uniquely identifiable including Full Name, and Photo that marks a true resemblance to the card holder. This is to identify and deter misuse (</w:t>
      </w:r>
      <w:r w:rsidR="00F644B5" w:rsidRPr="00B3102E">
        <w:t>imposter and</w:t>
      </w:r>
      <w:r w:rsidRPr="00B3102E">
        <w:t xml:space="preserve"> sharing cards)</w:t>
      </w:r>
      <w:r w:rsidR="00AF5399" w:rsidRPr="00B3102E">
        <w:t>.</w:t>
      </w:r>
    </w:p>
    <w:p w14:paraId="0E4F0407" w14:textId="3B219A3A" w:rsidR="00CD71AD" w:rsidRPr="00B3102E" w:rsidRDefault="00CD71AD" w:rsidP="003A49DC">
      <w:pPr>
        <w:pStyle w:val="ListParagraph"/>
        <w:numPr>
          <w:ilvl w:val="3"/>
          <w:numId w:val="10"/>
        </w:numPr>
      </w:pPr>
      <w:r w:rsidRPr="00B3102E">
        <w:t>It is prohibited to share use of and issued Access token</w:t>
      </w:r>
      <w:r w:rsidR="002454E9" w:rsidRPr="00B3102E">
        <w:t>.</w:t>
      </w:r>
    </w:p>
    <w:p w14:paraId="76F86996" w14:textId="45E79BE2" w:rsidR="00CD71AD" w:rsidRPr="00B3102E" w:rsidRDefault="00CD71AD" w:rsidP="003A49DC">
      <w:pPr>
        <w:pStyle w:val="ListParagraph"/>
        <w:numPr>
          <w:ilvl w:val="3"/>
          <w:numId w:val="10"/>
        </w:numPr>
      </w:pPr>
      <w:r w:rsidRPr="00B3102E">
        <w:t xml:space="preserve">Must identify the holder as </w:t>
      </w:r>
      <w:r w:rsidR="0058477F" w:rsidRPr="00B3102E">
        <w:t xml:space="preserve">a contractor of Microlink (use the </w:t>
      </w:r>
      <w:r w:rsidR="0058477F" w:rsidRPr="003A49DC">
        <w:rPr>
          <w:b/>
          <w:color w:val="8F3E51" w:themeColor="accent1" w:themeShade="BF"/>
        </w:rPr>
        <w:t>RED</w:t>
      </w:r>
      <w:r w:rsidR="0058477F" w:rsidRPr="00B3102E">
        <w:t xml:space="preserve"> design)</w:t>
      </w:r>
      <w:r w:rsidR="00AF5399" w:rsidRPr="00B3102E">
        <w:t>.</w:t>
      </w:r>
    </w:p>
    <w:p w14:paraId="6891C8F4" w14:textId="77777777" w:rsidR="00C30322" w:rsidRPr="00B3102E" w:rsidRDefault="006F5892" w:rsidP="003A49DC">
      <w:pPr>
        <w:pStyle w:val="ListParagraph"/>
        <w:numPr>
          <w:ilvl w:val="3"/>
          <w:numId w:val="10"/>
        </w:numPr>
      </w:pPr>
      <w:r w:rsidRPr="00B3102E">
        <w:t xml:space="preserve">It is the </w:t>
      </w:r>
      <w:r w:rsidR="00F644B5" w:rsidRPr="00B3102E">
        <w:t>contractor’s</w:t>
      </w:r>
      <w:r w:rsidRPr="00B3102E">
        <w:t xml:space="preserve"> responsibility to wear their ID badge on display. Those who frequently forget their ID card or fail to wear it on display may be asked to leave the </w:t>
      </w:r>
      <w:r w:rsidR="006E5AC4" w:rsidRPr="00B3102E">
        <w:t>premises</w:t>
      </w:r>
      <w:r w:rsidRPr="00B3102E">
        <w:t xml:space="preserve"> until the</w:t>
      </w:r>
      <w:r w:rsidR="006E5AC4" w:rsidRPr="00B3102E">
        <w:t xml:space="preserve"> card can be presented.</w:t>
      </w:r>
    </w:p>
    <w:p w14:paraId="0CD9E4EB" w14:textId="1AD1AD06" w:rsidR="003A49DC" w:rsidRDefault="00C30322" w:rsidP="003A49DC">
      <w:pPr>
        <w:pStyle w:val="ListParagraph"/>
        <w:numPr>
          <w:ilvl w:val="3"/>
          <w:numId w:val="10"/>
        </w:numPr>
      </w:pPr>
      <w:r w:rsidRPr="00B3102E">
        <w:t xml:space="preserve">Contractors are only authorised to enter the premises </w:t>
      </w:r>
      <w:r w:rsidR="00864CC1" w:rsidRPr="00B3102E">
        <w:t>to</w:t>
      </w:r>
      <w:r w:rsidR="00294641" w:rsidRPr="00B3102E">
        <w:t xml:space="preserve"> carry out </w:t>
      </w:r>
      <w:r w:rsidR="00B52FE0" w:rsidRPr="00B3102E">
        <w:t>their business duties.</w:t>
      </w:r>
      <w:r w:rsidR="003A49DC">
        <w:br/>
      </w:r>
    </w:p>
    <w:p w14:paraId="0B861CE9" w14:textId="140487C9" w:rsidR="003044D5" w:rsidRPr="00B3102E" w:rsidRDefault="003044D5" w:rsidP="003A49DC">
      <w:pPr>
        <w:pStyle w:val="ListParagraph"/>
        <w:numPr>
          <w:ilvl w:val="2"/>
          <w:numId w:val="10"/>
        </w:numPr>
      </w:pPr>
      <w:r w:rsidRPr="00B3102E">
        <w:t>Visitors</w:t>
      </w:r>
    </w:p>
    <w:p w14:paraId="5611BF40" w14:textId="0C946063" w:rsidR="00395E55" w:rsidRPr="00B3102E" w:rsidRDefault="00395E55" w:rsidP="003A49DC">
      <w:pPr>
        <w:pStyle w:val="ListParagraph"/>
        <w:numPr>
          <w:ilvl w:val="3"/>
          <w:numId w:val="10"/>
        </w:numPr>
      </w:pPr>
      <w:r w:rsidRPr="00B3102E">
        <w:t xml:space="preserve">Are not to be issued access tokens but instead </w:t>
      </w:r>
      <w:r w:rsidR="00FA02D9" w:rsidRPr="00B3102E">
        <w:t>paper-based</w:t>
      </w:r>
      <w:r w:rsidRPr="00B3102E">
        <w:t xml:space="preserve"> ID</w:t>
      </w:r>
      <w:r w:rsidR="00FA02D9" w:rsidRPr="00B3102E">
        <w:t>.</w:t>
      </w:r>
    </w:p>
    <w:p w14:paraId="29EC3248" w14:textId="77777777" w:rsidR="00C16342" w:rsidRPr="00B3102E" w:rsidRDefault="00FA02D9" w:rsidP="003A49DC">
      <w:pPr>
        <w:pStyle w:val="ListParagraph"/>
        <w:numPr>
          <w:ilvl w:val="3"/>
          <w:numId w:val="10"/>
        </w:numPr>
      </w:pPr>
      <w:r w:rsidRPr="00B3102E">
        <w:t>Must not be left unattended at any time</w:t>
      </w:r>
      <w:r w:rsidR="00E10C0B" w:rsidRPr="00B3102E">
        <w:t xml:space="preserve"> (excluding public areas, Smoking </w:t>
      </w:r>
      <w:r w:rsidR="00F644B5" w:rsidRPr="00B3102E">
        <w:t>area,</w:t>
      </w:r>
      <w:r w:rsidR="00E10C0B" w:rsidRPr="00B3102E">
        <w:t xml:space="preserve"> and Canteen)</w:t>
      </w:r>
    </w:p>
    <w:p w14:paraId="27D252D1" w14:textId="77777777" w:rsidR="006E3680" w:rsidRPr="00B3102E" w:rsidRDefault="006C70D6" w:rsidP="003A49DC">
      <w:pPr>
        <w:pStyle w:val="ListParagraph"/>
        <w:numPr>
          <w:ilvl w:val="3"/>
          <w:numId w:val="10"/>
        </w:numPr>
      </w:pPr>
      <w:r w:rsidRPr="00B3102E">
        <w:t>Visitors are not permitted into restricted areas or where there is sensitive</w:t>
      </w:r>
      <w:r w:rsidR="00215F94" w:rsidRPr="00B3102E">
        <w:t xml:space="preserve"> and or</w:t>
      </w:r>
      <w:r w:rsidRPr="00B3102E">
        <w:t xml:space="preserve"> confidential records or sensitive equipment.</w:t>
      </w:r>
    </w:p>
    <w:p w14:paraId="084BCEB3" w14:textId="77777777" w:rsidR="00EC1050" w:rsidRPr="00B3102E" w:rsidRDefault="006C70D6" w:rsidP="00BF0542">
      <w:pPr>
        <w:pStyle w:val="ListParagraph"/>
        <w:numPr>
          <w:ilvl w:val="4"/>
          <w:numId w:val="10"/>
        </w:numPr>
        <w:ind w:hanging="1381"/>
      </w:pPr>
      <w:r w:rsidRPr="00B3102E">
        <w:t xml:space="preserve">Representatives of regulatory bodies and stakeholders may be exempted.  </w:t>
      </w:r>
    </w:p>
    <w:p w14:paraId="4209273E" w14:textId="77777777" w:rsidR="0035500C" w:rsidRDefault="009B1602" w:rsidP="003A49DC">
      <w:pPr>
        <w:pStyle w:val="ListParagraph"/>
        <w:numPr>
          <w:ilvl w:val="3"/>
          <w:numId w:val="10"/>
        </w:numPr>
      </w:pPr>
      <w:r w:rsidRPr="00B3102E">
        <w:t xml:space="preserve">Visits are only approved during working </w:t>
      </w:r>
      <w:r w:rsidR="00644467" w:rsidRPr="00B3102E">
        <w:t>h</w:t>
      </w:r>
      <w:r w:rsidRPr="00B3102E">
        <w:t>ours.</w:t>
      </w:r>
    </w:p>
    <w:p w14:paraId="73DDA020" w14:textId="52D5A1AB" w:rsidR="003A49DC" w:rsidRDefault="0035500C" w:rsidP="003A49DC">
      <w:pPr>
        <w:pStyle w:val="ListParagraph"/>
        <w:numPr>
          <w:ilvl w:val="3"/>
          <w:numId w:val="10"/>
        </w:numPr>
      </w:pPr>
      <w:r>
        <w:t>Actions of visitors are the responsibility of</w:t>
      </w:r>
      <w:r w:rsidR="002E7525">
        <w:t xml:space="preserve"> the staff member they are visiting.</w:t>
      </w:r>
      <w:r w:rsidR="007D7EA0">
        <w:br/>
      </w:r>
    </w:p>
    <w:p w14:paraId="0F117926" w14:textId="23A2E607" w:rsidR="00FD394F" w:rsidRDefault="00FD394F" w:rsidP="00DA28B6">
      <w:pPr>
        <w:pStyle w:val="ListParagraph"/>
        <w:ind w:left="1224"/>
      </w:pPr>
    </w:p>
    <w:p w14:paraId="080BD1CF" w14:textId="73204E25" w:rsidR="00FD394F" w:rsidRPr="00B3102E" w:rsidRDefault="00FB5495" w:rsidP="003A49DC">
      <w:pPr>
        <w:pStyle w:val="Heading1"/>
        <w:numPr>
          <w:ilvl w:val="0"/>
          <w:numId w:val="10"/>
        </w:numPr>
      </w:pPr>
      <w:r w:rsidRPr="00B3102E">
        <w:t>Access control</w:t>
      </w:r>
    </w:p>
    <w:p w14:paraId="0532F29F" w14:textId="2F16F513" w:rsidR="00D80783" w:rsidRPr="00B3102E" w:rsidRDefault="00844595" w:rsidP="003A49DC">
      <w:pPr>
        <w:pStyle w:val="ListParagraph"/>
        <w:numPr>
          <w:ilvl w:val="1"/>
          <w:numId w:val="10"/>
        </w:numPr>
      </w:pPr>
      <w:r>
        <w:t xml:space="preserve">Where Access tokens are provided and </w:t>
      </w:r>
      <w:r w:rsidR="00147867" w:rsidRPr="00B3102E">
        <w:t>access request changes</w:t>
      </w:r>
      <w:r w:rsidR="00E06C3A" w:rsidRPr="00B3102E">
        <w:t xml:space="preserve">, </w:t>
      </w:r>
      <w:r w:rsidR="00D14442" w:rsidRPr="00B3102E">
        <w:t>(</w:t>
      </w:r>
      <w:r w:rsidR="00E06C3A" w:rsidRPr="00B3102E">
        <w:t xml:space="preserve">Grant, </w:t>
      </w:r>
      <w:r w:rsidR="00D14442" w:rsidRPr="00B3102E">
        <w:t>U</w:t>
      </w:r>
      <w:r w:rsidR="00E06C3A" w:rsidRPr="00B3102E">
        <w:t xml:space="preserve">pdate, </w:t>
      </w:r>
      <w:r w:rsidR="00D14442" w:rsidRPr="00B3102E">
        <w:t>R</w:t>
      </w:r>
      <w:r w:rsidR="00E06C3A" w:rsidRPr="00B3102E">
        <w:t>evoke</w:t>
      </w:r>
      <w:r w:rsidR="00D14442" w:rsidRPr="00B3102E">
        <w:t>)</w:t>
      </w:r>
      <w:r w:rsidR="00147867" w:rsidRPr="00B3102E">
        <w:t xml:space="preserve"> must be </w:t>
      </w:r>
      <w:r w:rsidR="007154DB" w:rsidRPr="00B3102E">
        <w:t>logged and recorded (</w:t>
      </w:r>
      <w:r w:rsidR="005651F3" w:rsidRPr="00B3102E">
        <w:t>IT</w:t>
      </w:r>
      <w:r w:rsidR="007154DB" w:rsidRPr="00B3102E">
        <w:t xml:space="preserve"> ticket)</w:t>
      </w:r>
      <w:r w:rsidR="005651F3" w:rsidRPr="00B3102E">
        <w:t xml:space="preserve"> on a </w:t>
      </w:r>
      <w:r w:rsidR="008C5226" w:rsidRPr="00B3102E">
        <w:t xml:space="preserve">per </w:t>
      </w:r>
      <w:r w:rsidR="005651F3" w:rsidRPr="00B3102E">
        <w:t>request basis.</w:t>
      </w:r>
    </w:p>
    <w:p w14:paraId="14AF8901" w14:textId="77777777" w:rsidR="002D3E08" w:rsidRPr="002D3E08" w:rsidRDefault="00FB13EC" w:rsidP="002D3E08">
      <w:pPr>
        <w:pStyle w:val="ListParagraph"/>
        <w:numPr>
          <w:ilvl w:val="1"/>
          <w:numId w:val="10"/>
        </w:numPr>
        <w:rPr>
          <w:rStyle w:val="Heading1Char"/>
          <w:rFonts w:asciiTheme="minorHAnsi" w:eastAsiaTheme="minorHAnsi" w:hAnsiTheme="minorHAnsi" w:cstheme="minorBidi"/>
          <w:color w:val="auto"/>
          <w:sz w:val="22"/>
          <w:szCs w:val="22"/>
        </w:rPr>
      </w:pPr>
      <w:r w:rsidRPr="00B3102E">
        <w:t xml:space="preserve">Approval must be </w:t>
      </w:r>
      <w:r w:rsidR="00C35B91" w:rsidRPr="00B3102E">
        <w:t>granted by the</w:t>
      </w:r>
      <w:r w:rsidR="002C2E7E" w:rsidRPr="00B3102E">
        <w:t xml:space="preserve"> relevant area</w:t>
      </w:r>
      <w:r w:rsidR="00C35B91" w:rsidRPr="00B3102E">
        <w:t xml:space="preserve"> owner. The area owner is listed in the </w:t>
      </w:r>
      <w:r w:rsidR="00096C4A" w:rsidRPr="00B3102E">
        <w:t>“Doors System overview.docx”</w:t>
      </w:r>
      <w:r w:rsidR="006D1FB1" w:rsidRPr="00B3102E">
        <w:t xml:space="preserve"> (system production/Doors)</w:t>
      </w:r>
      <w:r w:rsidR="002D3E08">
        <w:br/>
      </w:r>
    </w:p>
    <w:p w14:paraId="55004DE5" w14:textId="1A499A42" w:rsidR="002D3E08" w:rsidRPr="002D3E08" w:rsidRDefault="00BA2960" w:rsidP="002D3E08">
      <w:pPr>
        <w:pStyle w:val="Heading1"/>
        <w:numPr>
          <w:ilvl w:val="0"/>
          <w:numId w:val="10"/>
        </w:numPr>
        <w:rPr>
          <w:rStyle w:val="Heading1Char"/>
        </w:rPr>
      </w:pPr>
      <w:r w:rsidRPr="002D3E08">
        <w:rPr>
          <w:rStyle w:val="Heading1Char"/>
        </w:rPr>
        <w:lastRenderedPageBreak/>
        <w:t xml:space="preserve">Access </w:t>
      </w:r>
      <w:r w:rsidR="00A232B3" w:rsidRPr="002D3E08">
        <w:rPr>
          <w:rStyle w:val="Heading1Char"/>
        </w:rPr>
        <w:t>Key</w:t>
      </w:r>
      <w:r w:rsidR="003551C5" w:rsidRPr="002D3E08">
        <w:rPr>
          <w:rStyle w:val="Heading1Char"/>
        </w:rPr>
        <w:t xml:space="preserve"> restrictions.</w:t>
      </w:r>
    </w:p>
    <w:p w14:paraId="5962E8B7" w14:textId="6BEFC71D" w:rsidR="002D3E08" w:rsidRDefault="003551C5" w:rsidP="002D3E08">
      <w:pPr>
        <w:pStyle w:val="ListParagraph"/>
        <w:ind w:left="360"/>
        <w:rPr>
          <w:rStyle w:val="Heading1Char"/>
          <w:rFonts w:asciiTheme="minorHAnsi" w:eastAsiaTheme="minorHAnsi" w:hAnsiTheme="minorHAnsi" w:cstheme="minorBidi"/>
          <w:color w:val="auto"/>
          <w:sz w:val="22"/>
          <w:szCs w:val="22"/>
        </w:rPr>
      </w:pPr>
      <w:r w:rsidRPr="002D3E08">
        <w:rPr>
          <w:rStyle w:val="Heading1Char"/>
          <w:rFonts w:asciiTheme="minorHAnsi" w:eastAsiaTheme="minorHAnsi" w:hAnsiTheme="minorHAnsi" w:cstheme="minorBidi"/>
          <w:color w:val="auto"/>
          <w:sz w:val="22"/>
          <w:szCs w:val="22"/>
        </w:rPr>
        <w:t xml:space="preserve">To ensure security is maintained </w:t>
      </w:r>
      <w:r w:rsidR="005F7E8C" w:rsidRPr="002D3E08">
        <w:rPr>
          <w:rStyle w:val="Heading1Char"/>
          <w:rFonts w:asciiTheme="minorHAnsi" w:eastAsiaTheme="minorHAnsi" w:hAnsiTheme="minorHAnsi" w:cstheme="minorBidi"/>
          <w:color w:val="auto"/>
          <w:sz w:val="22"/>
          <w:szCs w:val="22"/>
        </w:rPr>
        <w:t xml:space="preserve">access keys must be protected and handled correctly. Failing to </w:t>
      </w:r>
      <w:r w:rsidR="00810A36" w:rsidRPr="002D3E08">
        <w:rPr>
          <w:rStyle w:val="Heading1Char"/>
          <w:rFonts w:asciiTheme="minorHAnsi" w:eastAsiaTheme="minorHAnsi" w:hAnsiTheme="minorHAnsi" w:cstheme="minorBidi"/>
          <w:color w:val="auto"/>
          <w:sz w:val="22"/>
          <w:szCs w:val="22"/>
        </w:rPr>
        <w:t xml:space="preserve">handle </w:t>
      </w:r>
      <w:r w:rsidR="004B1B08" w:rsidRPr="002D3E08">
        <w:rPr>
          <w:rStyle w:val="Heading1Char"/>
          <w:rFonts w:asciiTheme="minorHAnsi" w:eastAsiaTheme="minorHAnsi" w:hAnsiTheme="minorHAnsi" w:cstheme="minorBidi"/>
          <w:color w:val="auto"/>
          <w:sz w:val="22"/>
          <w:szCs w:val="22"/>
        </w:rPr>
        <w:t xml:space="preserve">access </w:t>
      </w:r>
      <w:r w:rsidR="00810A36" w:rsidRPr="002D3E08">
        <w:rPr>
          <w:rStyle w:val="Heading1Char"/>
          <w:rFonts w:asciiTheme="minorHAnsi" w:eastAsiaTheme="minorHAnsi" w:hAnsiTheme="minorHAnsi" w:cstheme="minorBidi"/>
          <w:color w:val="auto"/>
          <w:sz w:val="22"/>
          <w:szCs w:val="22"/>
        </w:rPr>
        <w:t xml:space="preserve">keys correctly could result in unauthorised access to Microlink </w:t>
      </w:r>
      <w:r w:rsidR="0022521A" w:rsidRPr="002D3E08">
        <w:rPr>
          <w:rStyle w:val="Heading1Char"/>
          <w:rFonts w:asciiTheme="minorHAnsi" w:eastAsiaTheme="minorHAnsi" w:hAnsiTheme="minorHAnsi" w:cstheme="minorBidi"/>
          <w:color w:val="auto"/>
          <w:sz w:val="22"/>
          <w:szCs w:val="22"/>
        </w:rPr>
        <w:t>premises and systems,</w:t>
      </w:r>
      <w:r w:rsidR="0028077A" w:rsidRPr="002D3E08">
        <w:rPr>
          <w:rStyle w:val="Heading1Char"/>
          <w:rFonts w:asciiTheme="minorHAnsi" w:eastAsiaTheme="minorHAnsi" w:hAnsiTheme="minorHAnsi" w:cstheme="minorBidi"/>
          <w:color w:val="auto"/>
          <w:sz w:val="22"/>
          <w:szCs w:val="22"/>
        </w:rPr>
        <w:t xml:space="preserve"> consequently enabling</w:t>
      </w:r>
      <w:r w:rsidR="0022521A" w:rsidRPr="002D3E08">
        <w:rPr>
          <w:rStyle w:val="Heading1Char"/>
          <w:rFonts w:asciiTheme="minorHAnsi" w:eastAsiaTheme="minorHAnsi" w:hAnsiTheme="minorHAnsi" w:cstheme="minorBidi"/>
          <w:color w:val="auto"/>
          <w:sz w:val="22"/>
          <w:szCs w:val="22"/>
        </w:rPr>
        <w:t xml:space="preserve"> theft of</w:t>
      </w:r>
      <w:r w:rsidR="006301AA" w:rsidRPr="002D3E08">
        <w:rPr>
          <w:rStyle w:val="Heading1Char"/>
          <w:rFonts w:asciiTheme="minorHAnsi" w:eastAsiaTheme="minorHAnsi" w:hAnsiTheme="minorHAnsi" w:cstheme="minorBidi"/>
          <w:color w:val="auto"/>
          <w:sz w:val="22"/>
          <w:szCs w:val="22"/>
        </w:rPr>
        <w:t xml:space="preserve"> property</w:t>
      </w:r>
      <w:r w:rsidR="0028077A" w:rsidRPr="002D3E08">
        <w:rPr>
          <w:rStyle w:val="Heading1Char"/>
          <w:rFonts w:asciiTheme="minorHAnsi" w:eastAsiaTheme="minorHAnsi" w:hAnsiTheme="minorHAnsi" w:cstheme="minorBidi"/>
          <w:color w:val="auto"/>
          <w:sz w:val="22"/>
          <w:szCs w:val="22"/>
        </w:rPr>
        <w:t xml:space="preserve"> </w:t>
      </w:r>
      <w:r w:rsidR="00557E71" w:rsidRPr="002D3E08">
        <w:rPr>
          <w:rStyle w:val="Heading1Char"/>
          <w:rFonts w:asciiTheme="minorHAnsi" w:eastAsiaTheme="minorHAnsi" w:hAnsiTheme="minorHAnsi" w:cstheme="minorBidi"/>
          <w:color w:val="auto"/>
          <w:sz w:val="22"/>
          <w:szCs w:val="22"/>
        </w:rPr>
        <w:t>or data, damage to property or systems</w:t>
      </w:r>
      <w:r w:rsidR="004B1B08" w:rsidRPr="002D3E08">
        <w:rPr>
          <w:rStyle w:val="Heading1Char"/>
          <w:rFonts w:asciiTheme="minorHAnsi" w:eastAsiaTheme="minorHAnsi" w:hAnsiTheme="minorHAnsi" w:cstheme="minorBidi"/>
          <w:color w:val="auto"/>
          <w:sz w:val="22"/>
          <w:szCs w:val="22"/>
        </w:rPr>
        <w:t xml:space="preserve"> or introduction of malicious equipment</w:t>
      </w:r>
      <w:r w:rsidR="000F30B4" w:rsidRPr="002D3E08">
        <w:rPr>
          <w:rStyle w:val="Heading1Char"/>
          <w:rFonts w:asciiTheme="minorHAnsi" w:eastAsiaTheme="minorHAnsi" w:hAnsiTheme="minorHAnsi" w:cstheme="minorBidi"/>
          <w:color w:val="auto"/>
          <w:sz w:val="22"/>
          <w:szCs w:val="22"/>
        </w:rPr>
        <w:t xml:space="preserve"> or items. There for the following restrictions apply</w:t>
      </w:r>
      <w:r w:rsidR="002D3E08">
        <w:rPr>
          <w:rStyle w:val="Heading1Char"/>
          <w:rFonts w:asciiTheme="minorHAnsi" w:eastAsiaTheme="minorHAnsi" w:hAnsiTheme="minorHAnsi" w:cstheme="minorBidi"/>
          <w:color w:val="auto"/>
          <w:sz w:val="22"/>
          <w:szCs w:val="22"/>
        </w:rPr>
        <w:t>.</w:t>
      </w:r>
      <w:r w:rsidR="002D3E08">
        <w:rPr>
          <w:rStyle w:val="Heading1Char"/>
          <w:rFonts w:asciiTheme="minorHAnsi" w:eastAsiaTheme="minorHAnsi" w:hAnsiTheme="minorHAnsi" w:cstheme="minorBidi"/>
          <w:color w:val="auto"/>
          <w:sz w:val="22"/>
          <w:szCs w:val="22"/>
        </w:rPr>
        <w:br/>
      </w:r>
    </w:p>
    <w:p w14:paraId="2E47EF12" w14:textId="77777777" w:rsidR="002D3E08" w:rsidRDefault="002D3E08" w:rsidP="002D3E08">
      <w:pPr>
        <w:pStyle w:val="ListParagraph"/>
        <w:numPr>
          <w:ilvl w:val="1"/>
          <w:numId w:val="10"/>
        </w:numPr>
      </w:pPr>
      <w:r>
        <w:t>P</w:t>
      </w:r>
      <w:r w:rsidR="00046141" w:rsidRPr="009E16DE">
        <w:t xml:space="preserve">hysical </w:t>
      </w:r>
      <w:r w:rsidR="00982B04" w:rsidRPr="009E16DE">
        <w:t xml:space="preserve">access </w:t>
      </w:r>
      <w:r w:rsidR="00A232B3" w:rsidRPr="009E16DE">
        <w:t xml:space="preserve">Keys </w:t>
      </w:r>
      <w:r w:rsidR="00046141" w:rsidRPr="009E16DE">
        <w:t xml:space="preserve">must be </w:t>
      </w:r>
      <w:r w:rsidR="00EF6405" w:rsidRPr="009E16DE">
        <w:t xml:space="preserve">kept </w:t>
      </w:r>
      <w:r w:rsidR="00590A53" w:rsidRPr="009E16DE">
        <w:t>stored in a</w:t>
      </w:r>
      <w:r w:rsidR="00EF6405" w:rsidRPr="009E16DE">
        <w:t xml:space="preserve"> secure location.</w:t>
      </w:r>
    </w:p>
    <w:p w14:paraId="56539419" w14:textId="77777777" w:rsidR="002D3E08" w:rsidRDefault="002D3E08" w:rsidP="002D3E08">
      <w:pPr>
        <w:pStyle w:val="ListParagraph"/>
        <w:numPr>
          <w:ilvl w:val="2"/>
          <w:numId w:val="10"/>
        </w:numPr>
      </w:pPr>
      <w:r>
        <w:t>I</w:t>
      </w:r>
      <w:r w:rsidR="00EF6405" w:rsidRPr="009E16DE">
        <w:t>nclud</w:t>
      </w:r>
      <w:r w:rsidR="004D33CD" w:rsidRPr="009E16DE">
        <w:t>ing</w:t>
      </w:r>
      <w:r w:rsidR="00EF6405" w:rsidRPr="009E16DE">
        <w:t xml:space="preserve"> </w:t>
      </w:r>
      <w:r w:rsidR="00AE5189" w:rsidRPr="009E16DE">
        <w:t xml:space="preserve">physical access </w:t>
      </w:r>
      <w:r w:rsidR="00A232B3" w:rsidRPr="009E16DE">
        <w:t>Keys</w:t>
      </w:r>
      <w:r w:rsidR="00EF6405" w:rsidRPr="009E16DE">
        <w:t xml:space="preserve"> taken offsite.</w:t>
      </w:r>
    </w:p>
    <w:p w14:paraId="6222CBC2" w14:textId="77777777" w:rsidR="002D3E08" w:rsidRDefault="00545D33" w:rsidP="009356E0">
      <w:pPr>
        <w:pStyle w:val="ListParagraph"/>
        <w:numPr>
          <w:ilvl w:val="2"/>
          <w:numId w:val="10"/>
        </w:numPr>
        <w:ind w:left="1440"/>
      </w:pPr>
      <w:r w:rsidRPr="009E16DE">
        <w:t>Locked Cars</w:t>
      </w:r>
      <w:r w:rsidR="00166C5C" w:rsidRPr="009E16DE">
        <w:t xml:space="preserve"> and externally located</w:t>
      </w:r>
      <w:r w:rsidR="00D82195" w:rsidRPr="009E16DE">
        <w:t xml:space="preserve"> lock boxes are prohibited from use.</w:t>
      </w:r>
    </w:p>
    <w:p w14:paraId="007CAE66" w14:textId="262D3A72" w:rsidR="002D3E08" w:rsidRDefault="00121551" w:rsidP="002D3E08">
      <w:pPr>
        <w:pStyle w:val="ListParagraph"/>
        <w:numPr>
          <w:ilvl w:val="2"/>
          <w:numId w:val="10"/>
        </w:numPr>
        <w:ind w:left="1440"/>
      </w:pPr>
      <w:r w:rsidRPr="009E16DE">
        <w:t>Physical access keys must be kept on your person when not being securely stored.</w:t>
      </w:r>
      <w:r w:rsidR="00125F32">
        <w:br/>
      </w:r>
    </w:p>
    <w:p w14:paraId="731C5514" w14:textId="77777777" w:rsidR="002D3E08" w:rsidRDefault="001C556F" w:rsidP="002D3E08">
      <w:pPr>
        <w:pStyle w:val="ListParagraph"/>
        <w:numPr>
          <w:ilvl w:val="1"/>
          <w:numId w:val="10"/>
        </w:numPr>
      </w:pPr>
      <w:r w:rsidRPr="009E16DE">
        <w:t xml:space="preserve">All physical access </w:t>
      </w:r>
      <w:r w:rsidR="00CE384E" w:rsidRPr="009E16DE">
        <w:t>Keys</w:t>
      </w:r>
      <w:r w:rsidRPr="009E16DE">
        <w:t xml:space="preserve"> must be returned when</w:t>
      </w:r>
      <w:r w:rsidR="009C5203" w:rsidRPr="009E16DE">
        <w:t>:</w:t>
      </w:r>
    </w:p>
    <w:p w14:paraId="229F1D99" w14:textId="77777777" w:rsidR="002D3E08" w:rsidRDefault="00FD495B" w:rsidP="002D3E08">
      <w:pPr>
        <w:pStyle w:val="ListParagraph"/>
        <w:numPr>
          <w:ilvl w:val="2"/>
          <w:numId w:val="10"/>
        </w:numPr>
      </w:pPr>
      <w:r w:rsidRPr="009E16DE">
        <w:t>Employment is terminated</w:t>
      </w:r>
      <w:r w:rsidR="00354A48" w:rsidRPr="009E16DE">
        <w:t>.</w:t>
      </w:r>
    </w:p>
    <w:p w14:paraId="208E51E7" w14:textId="3027DEB6" w:rsidR="00125F32" w:rsidRDefault="00FD495B" w:rsidP="002D3E08">
      <w:pPr>
        <w:pStyle w:val="ListParagraph"/>
        <w:numPr>
          <w:ilvl w:val="2"/>
          <w:numId w:val="10"/>
        </w:numPr>
      </w:pPr>
      <w:r w:rsidRPr="009E16DE">
        <w:t xml:space="preserve">Employment role changes and possession of physical access </w:t>
      </w:r>
      <w:r w:rsidR="00CE384E" w:rsidRPr="009E16DE">
        <w:t>keys</w:t>
      </w:r>
      <w:r w:rsidRPr="009E16DE">
        <w:t xml:space="preserve"> is no longer required.</w:t>
      </w:r>
      <w:r w:rsidR="00125F32">
        <w:br/>
      </w:r>
    </w:p>
    <w:p w14:paraId="562EAB0A" w14:textId="77777777" w:rsidR="00125F32" w:rsidRDefault="00651EDD" w:rsidP="00125F32">
      <w:pPr>
        <w:pStyle w:val="ListParagraph"/>
        <w:numPr>
          <w:ilvl w:val="1"/>
          <w:numId w:val="10"/>
        </w:numPr>
      </w:pPr>
      <w:r w:rsidRPr="009E16DE">
        <w:t xml:space="preserve">If physical access </w:t>
      </w:r>
      <w:r w:rsidR="00CE384E" w:rsidRPr="009E16DE">
        <w:t>keys are</w:t>
      </w:r>
      <w:r w:rsidRPr="009E16DE">
        <w:t xml:space="preserve"> lost or stolen:</w:t>
      </w:r>
    </w:p>
    <w:p w14:paraId="164BBEA8" w14:textId="77777777" w:rsidR="00125F32" w:rsidRDefault="00651EDD" w:rsidP="00125F32">
      <w:pPr>
        <w:pStyle w:val="ListParagraph"/>
        <w:numPr>
          <w:ilvl w:val="2"/>
          <w:numId w:val="10"/>
        </w:numPr>
      </w:pPr>
      <w:r w:rsidRPr="009E16DE">
        <w:t xml:space="preserve">Internal IT must be informed </w:t>
      </w:r>
      <w:r w:rsidR="00615C72" w:rsidRPr="009E16DE">
        <w:t>immediately.</w:t>
      </w:r>
    </w:p>
    <w:p w14:paraId="4EFC2B0E" w14:textId="77777777" w:rsidR="00125F32" w:rsidRDefault="00615C72" w:rsidP="00125F32">
      <w:pPr>
        <w:pStyle w:val="ListParagraph"/>
        <w:numPr>
          <w:ilvl w:val="2"/>
          <w:numId w:val="10"/>
        </w:numPr>
      </w:pPr>
      <w:r w:rsidRPr="009E16DE">
        <w:t>Facilities Must be informed immediately.</w:t>
      </w:r>
    </w:p>
    <w:p w14:paraId="1260D9C7" w14:textId="77777777" w:rsidR="00125F32" w:rsidRDefault="00615C72" w:rsidP="00125F32">
      <w:pPr>
        <w:pStyle w:val="ListParagraph"/>
        <w:numPr>
          <w:ilvl w:val="2"/>
          <w:numId w:val="10"/>
        </w:numPr>
      </w:pPr>
      <w:r w:rsidRPr="009E16DE">
        <w:t>Incident must be raised</w:t>
      </w:r>
      <w:r w:rsidR="005C6794" w:rsidRPr="009E16DE">
        <w:t xml:space="preserve"> using the incident management system.</w:t>
      </w:r>
    </w:p>
    <w:p w14:paraId="030EC6B8" w14:textId="78027C20" w:rsidR="00964EBD" w:rsidRPr="00B3102E" w:rsidRDefault="000F4835" w:rsidP="00125F32">
      <w:pPr>
        <w:pStyle w:val="Heading1"/>
        <w:numPr>
          <w:ilvl w:val="0"/>
          <w:numId w:val="10"/>
        </w:numPr>
      </w:pPr>
      <w:r w:rsidRPr="00B3102E">
        <w:t>Access control</w:t>
      </w:r>
      <w:r w:rsidR="00ED58D9" w:rsidRPr="00B3102E">
        <w:t xml:space="preserve"> equipment</w:t>
      </w:r>
      <w:r w:rsidRPr="00B3102E">
        <w:t xml:space="preserve"> restriction.</w:t>
      </w:r>
    </w:p>
    <w:p w14:paraId="2AE35BAF" w14:textId="6ECFB491" w:rsidR="00B16B99" w:rsidRDefault="00477745" w:rsidP="00B16B99">
      <w:r w:rsidRPr="00B3102E">
        <w:t>To</w:t>
      </w:r>
      <w:r w:rsidR="00191FE8" w:rsidRPr="00B3102E">
        <w:t xml:space="preserve"> ensure adequate </w:t>
      </w:r>
      <w:r w:rsidR="00B410C2" w:rsidRPr="00B3102E">
        <w:t xml:space="preserve">security protections are in place and the ability continually monitor the </w:t>
      </w:r>
      <w:r w:rsidR="001E3419" w:rsidRPr="00B3102E">
        <w:t>operation</w:t>
      </w:r>
      <w:r w:rsidR="00E52FE1" w:rsidRPr="00B3102E">
        <w:t>al effectiveness</w:t>
      </w:r>
      <w:r w:rsidR="001E3419" w:rsidRPr="00B3102E">
        <w:t>, policy</w:t>
      </w:r>
      <w:r w:rsidR="00E52FE1" w:rsidRPr="00B3102E">
        <w:t xml:space="preserve"> compliance</w:t>
      </w:r>
      <w:r w:rsidR="001126AE" w:rsidRPr="00B3102E">
        <w:t xml:space="preserve">, </w:t>
      </w:r>
      <w:r w:rsidR="00B50E79" w:rsidRPr="00B3102E">
        <w:t xml:space="preserve">control </w:t>
      </w:r>
      <w:r w:rsidR="00E52FE1" w:rsidRPr="00B3102E">
        <w:t>effectiveness</w:t>
      </w:r>
      <w:r w:rsidR="001126AE" w:rsidRPr="00B3102E">
        <w:t xml:space="preserve"> and ensure security requirement</w:t>
      </w:r>
      <w:r w:rsidR="00E52FE1" w:rsidRPr="00B3102E">
        <w:t>.</w:t>
      </w:r>
      <w:r w:rsidR="00B50E79" w:rsidRPr="00B3102E">
        <w:t xml:space="preserve"> </w:t>
      </w:r>
      <w:r w:rsidR="0026441F" w:rsidRPr="00B3102E">
        <w:t xml:space="preserve">Several </w:t>
      </w:r>
      <w:r w:rsidRPr="00B3102E">
        <w:t>restrictions</w:t>
      </w:r>
      <w:r w:rsidR="0026441F" w:rsidRPr="00B3102E">
        <w:t xml:space="preserve"> regarding access control equipment a</w:t>
      </w:r>
      <w:r w:rsidRPr="00B3102E">
        <w:t>re required.</w:t>
      </w:r>
    </w:p>
    <w:p w14:paraId="437FF40C" w14:textId="7A9B178C" w:rsidR="000F4835" w:rsidRPr="00B3102E" w:rsidRDefault="000F4835" w:rsidP="00B16B99">
      <w:pPr>
        <w:pStyle w:val="ListParagraph"/>
        <w:numPr>
          <w:ilvl w:val="1"/>
          <w:numId w:val="10"/>
        </w:numPr>
      </w:pPr>
      <w:r w:rsidRPr="00B3102E">
        <w:t xml:space="preserve">All </w:t>
      </w:r>
      <w:r w:rsidR="00383A07" w:rsidRPr="00B3102E">
        <w:t xml:space="preserve">access controls that are situated </w:t>
      </w:r>
      <w:r w:rsidR="00730B11" w:rsidRPr="00B3102E">
        <w:t xml:space="preserve">to protect a restricted </w:t>
      </w:r>
      <w:r w:rsidR="00606D98" w:rsidRPr="00B3102E">
        <w:t xml:space="preserve">high value </w:t>
      </w:r>
      <w:r w:rsidR="00730B11" w:rsidRPr="00B3102E">
        <w:t>area</w:t>
      </w:r>
      <w:r w:rsidR="00606D98" w:rsidRPr="00B3102E">
        <w:t>s</w:t>
      </w:r>
      <w:r w:rsidR="00730B11" w:rsidRPr="00B3102E">
        <w:t xml:space="preserve"> or data processing area must</w:t>
      </w:r>
      <w:r w:rsidR="00606D98" w:rsidRPr="00B3102E">
        <w:t>:</w:t>
      </w:r>
    </w:p>
    <w:p w14:paraId="1088B893" w14:textId="45C0D4CF" w:rsidR="00730B11" w:rsidRPr="00B3102E" w:rsidRDefault="00730B11" w:rsidP="00B16B99">
      <w:pPr>
        <w:pStyle w:val="ListParagraph"/>
        <w:numPr>
          <w:ilvl w:val="2"/>
          <w:numId w:val="10"/>
        </w:numPr>
      </w:pPr>
      <w:r w:rsidRPr="00B3102E">
        <w:t xml:space="preserve">Have an </w:t>
      </w:r>
      <w:r w:rsidR="009C2056" w:rsidRPr="00B3102E">
        <w:t>audible</w:t>
      </w:r>
      <w:r w:rsidRPr="00B3102E">
        <w:t xml:space="preserve"> alarm that sounds when</w:t>
      </w:r>
      <w:r w:rsidR="00061D6B" w:rsidRPr="00B3102E">
        <w:t>:</w:t>
      </w:r>
    </w:p>
    <w:p w14:paraId="3C8DA5A3" w14:textId="5D7B742B" w:rsidR="00730B11" w:rsidRPr="00B3102E" w:rsidRDefault="00730B11" w:rsidP="00B16B99">
      <w:pPr>
        <w:pStyle w:val="ListParagraph"/>
        <w:numPr>
          <w:ilvl w:val="3"/>
          <w:numId w:val="10"/>
        </w:numPr>
      </w:pPr>
      <w:r w:rsidRPr="00B3102E">
        <w:t>The door is force</w:t>
      </w:r>
      <w:r w:rsidR="009C2056" w:rsidRPr="00B3102E">
        <w:t>d open</w:t>
      </w:r>
      <w:r w:rsidR="00EE45A1" w:rsidRPr="00B3102E">
        <w:t>.</w:t>
      </w:r>
    </w:p>
    <w:p w14:paraId="7883B23A" w14:textId="0D6CB987" w:rsidR="00730B11" w:rsidRPr="00B3102E" w:rsidRDefault="00730B11" w:rsidP="00B16B99">
      <w:pPr>
        <w:pStyle w:val="ListParagraph"/>
        <w:numPr>
          <w:ilvl w:val="3"/>
          <w:numId w:val="10"/>
        </w:numPr>
      </w:pPr>
      <w:r w:rsidRPr="00B3102E">
        <w:t xml:space="preserve">The door is </w:t>
      </w:r>
      <w:r w:rsidR="009C2056" w:rsidRPr="00B3102E">
        <w:t>held open</w:t>
      </w:r>
      <w:r w:rsidR="00EE45A1" w:rsidRPr="00B3102E">
        <w:t>.</w:t>
      </w:r>
      <w:r w:rsidR="00044779" w:rsidRPr="00B3102E">
        <w:br/>
      </w:r>
    </w:p>
    <w:p w14:paraId="2244FB67" w14:textId="40D4FB7E" w:rsidR="00A77678" w:rsidRPr="00B3102E" w:rsidRDefault="00A77678" w:rsidP="00B16B99">
      <w:pPr>
        <w:pStyle w:val="ListParagraph"/>
        <w:numPr>
          <w:ilvl w:val="2"/>
          <w:numId w:val="10"/>
        </w:numPr>
      </w:pPr>
      <w:r w:rsidRPr="00B3102E">
        <w:t>Create a</w:t>
      </w:r>
      <w:r w:rsidR="00061D6B" w:rsidRPr="00B3102E">
        <w:t xml:space="preserve"> log</w:t>
      </w:r>
      <w:r w:rsidRPr="00B3102E">
        <w:t xml:space="preserve"> of the event</w:t>
      </w:r>
      <w:r w:rsidR="00920124" w:rsidRPr="00B3102E">
        <w:t xml:space="preserve"> when</w:t>
      </w:r>
      <w:r w:rsidR="00061D6B" w:rsidRPr="00B3102E">
        <w:t>:</w:t>
      </w:r>
    </w:p>
    <w:p w14:paraId="1942DE31" w14:textId="7A01825E" w:rsidR="00920124" w:rsidRPr="00B3102E" w:rsidRDefault="00920124" w:rsidP="00B16B99">
      <w:pPr>
        <w:pStyle w:val="ListParagraph"/>
        <w:numPr>
          <w:ilvl w:val="3"/>
          <w:numId w:val="10"/>
        </w:numPr>
      </w:pPr>
      <w:r w:rsidRPr="00B3102E">
        <w:t>The door is forced open</w:t>
      </w:r>
      <w:r w:rsidR="00EE45A1" w:rsidRPr="00B3102E">
        <w:t>.</w:t>
      </w:r>
    </w:p>
    <w:p w14:paraId="24DD32F8" w14:textId="6C2C4936" w:rsidR="00920124" w:rsidRPr="00B3102E" w:rsidRDefault="00920124" w:rsidP="00B16B99">
      <w:pPr>
        <w:pStyle w:val="ListParagraph"/>
        <w:numPr>
          <w:ilvl w:val="3"/>
          <w:numId w:val="10"/>
        </w:numPr>
      </w:pPr>
      <w:r w:rsidRPr="00B3102E">
        <w:t>The door is held open</w:t>
      </w:r>
      <w:r w:rsidR="00EE45A1" w:rsidRPr="00B3102E">
        <w:t>.</w:t>
      </w:r>
    </w:p>
    <w:p w14:paraId="1808B3FB" w14:textId="77777777" w:rsidR="004719F2" w:rsidRPr="00B3102E" w:rsidRDefault="00261043" w:rsidP="00B16B99">
      <w:pPr>
        <w:pStyle w:val="ListParagraph"/>
        <w:numPr>
          <w:ilvl w:val="3"/>
          <w:numId w:val="10"/>
        </w:numPr>
      </w:pPr>
      <w:r w:rsidRPr="00B3102E">
        <w:t>An access badge is used that does not have adequate permission.</w:t>
      </w:r>
    </w:p>
    <w:p w14:paraId="22684F7B" w14:textId="19654E4C" w:rsidR="00261043" w:rsidRPr="00B3102E" w:rsidRDefault="004719F2" w:rsidP="00B16B99">
      <w:pPr>
        <w:pStyle w:val="ListParagraph"/>
        <w:numPr>
          <w:ilvl w:val="3"/>
          <w:numId w:val="10"/>
        </w:numPr>
      </w:pPr>
      <w:r w:rsidRPr="00B3102E">
        <w:t>Event that unlocks all doors occurs (</w:t>
      </w:r>
      <w:proofErr w:type="spellStart"/>
      <w:proofErr w:type="gramStart"/>
      <w:r w:rsidRPr="00B3102E">
        <w:t>ie</w:t>
      </w:r>
      <w:proofErr w:type="spellEnd"/>
      <w:proofErr w:type="gramEnd"/>
      <w:r w:rsidRPr="00B3102E">
        <w:t xml:space="preserve"> Fire alarm)</w:t>
      </w:r>
      <w:r w:rsidR="00044779" w:rsidRPr="00B3102E">
        <w:br/>
      </w:r>
    </w:p>
    <w:p w14:paraId="142520A1" w14:textId="315F4E28" w:rsidR="00606D98" w:rsidRPr="00B3102E" w:rsidRDefault="005110A3" w:rsidP="008840BD">
      <w:pPr>
        <w:pStyle w:val="ListParagraph"/>
        <w:numPr>
          <w:ilvl w:val="2"/>
          <w:numId w:val="10"/>
        </w:numPr>
      </w:pPr>
      <w:r w:rsidRPr="00B3102E">
        <w:t xml:space="preserve">All access controls that are situated to protect </w:t>
      </w:r>
      <w:r w:rsidR="00AC73DC" w:rsidRPr="00B3102E">
        <w:t>Server</w:t>
      </w:r>
      <w:r w:rsidR="00B10A79" w:rsidRPr="00B3102E">
        <w:t xml:space="preserve"> room/ Datacentres must also:</w:t>
      </w:r>
    </w:p>
    <w:p w14:paraId="70FA09E4" w14:textId="3231D666" w:rsidR="00B10A79" w:rsidRPr="00B3102E" w:rsidRDefault="00B10A79" w:rsidP="008840BD">
      <w:pPr>
        <w:pStyle w:val="ListParagraph"/>
        <w:numPr>
          <w:ilvl w:val="3"/>
          <w:numId w:val="10"/>
        </w:numPr>
      </w:pPr>
      <w:r w:rsidRPr="00B3102E">
        <w:t>Have CCTV covering the entrance.</w:t>
      </w:r>
      <w:r w:rsidR="00044779" w:rsidRPr="00B3102E">
        <w:br/>
      </w:r>
    </w:p>
    <w:p w14:paraId="6613E52F" w14:textId="26D10999" w:rsidR="00EE45A1" w:rsidRPr="00B3102E" w:rsidRDefault="00EE45A1" w:rsidP="008840BD">
      <w:pPr>
        <w:pStyle w:val="ListParagraph"/>
        <w:numPr>
          <w:ilvl w:val="2"/>
          <w:numId w:val="10"/>
        </w:numPr>
      </w:pPr>
      <w:r w:rsidRPr="00B3102E">
        <w:t xml:space="preserve">Where </w:t>
      </w:r>
      <w:r w:rsidR="0057681F" w:rsidRPr="00B3102E">
        <w:t xml:space="preserve">reasonably practicable </w:t>
      </w:r>
      <w:r w:rsidR="006803A7" w:rsidRPr="00B3102E">
        <w:t>controls must be in place to deter or prevent:</w:t>
      </w:r>
    </w:p>
    <w:p w14:paraId="3C69EB01" w14:textId="145C934F" w:rsidR="006803A7" w:rsidRPr="00B3102E" w:rsidRDefault="001E3419" w:rsidP="008840BD">
      <w:pPr>
        <w:pStyle w:val="ListParagraph"/>
        <w:numPr>
          <w:ilvl w:val="3"/>
          <w:numId w:val="10"/>
        </w:numPr>
      </w:pPr>
      <w:r w:rsidRPr="00B3102E">
        <w:t>Tailgating</w:t>
      </w:r>
      <w:r w:rsidR="006803A7" w:rsidRPr="00B3102E">
        <w:t xml:space="preserve">. The </w:t>
      </w:r>
      <w:r w:rsidR="003B06E5" w:rsidRPr="00B3102E">
        <w:t xml:space="preserve">action </w:t>
      </w:r>
      <w:r w:rsidR="006B3A55" w:rsidRPr="00B3102E">
        <w:t xml:space="preserve">of someone </w:t>
      </w:r>
      <w:r w:rsidR="0046771F" w:rsidRPr="00B3102E">
        <w:t>follow</w:t>
      </w:r>
      <w:r w:rsidR="00DD6980" w:rsidRPr="00B3102E">
        <w:t xml:space="preserve">ing </w:t>
      </w:r>
      <w:r w:rsidR="006B3A55" w:rsidRPr="00B3102E">
        <w:t>someone else</w:t>
      </w:r>
      <w:r w:rsidR="00DD6980" w:rsidRPr="00B3102E">
        <w:t xml:space="preserve"> through an access control without </w:t>
      </w:r>
      <w:r w:rsidR="003F2549" w:rsidRPr="00B3102E">
        <w:t xml:space="preserve">presenting their </w:t>
      </w:r>
      <w:r w:rsidR="00044779" w:rsidRPr="00B3102E">
        <w:t>Electronic Key to the reader</w:t>
      </w:r>
      <w:r w:rsidR="001D118D" w:rsidRPr="00B3102E">
        <w:t>.</w:t>
      </w:r>
    </w:p>
    <w:p w14:paraId="6B8CC4A2" w14:textId="19101B01" w:rsidR="004C6EAC" w:rsidRPr="00B3102E" w:rsidRDefault="00044779" w:rsidP="008840BD">
      <w:pPr>
        <w:pStyle w:val="ListParagraph"/>
        <w:numPr>
          <w:ilvl w:val="3"/>
          <w:numId w:val="10"/>
        </w:numPr>
      </w:pPr>
      <w:r w:rsidRPr="00B3102E">
        <w:t>Pass back</w:t>
      </w:r>
      <w:r w:rsidR="004C6EAC" w:rsidRPr="00B3102E">
        <w:t>. The action of someone passing the</w:t>
      </w:r>
      <w:r w:rsidRPr="00B3102E">
        <w:t>ir electronic key back to provide another access.</w:t>
      </w:r>
      <w:r w:rsidR="00AA5774" w:rsidRPr="00B3102E">
        <w:br/>
      </w:r>
    </w:p>
    <w:p w14:paraId="6384D783" w14:textId="65CC7358" w:rsidR="00CA6F2E" w:rsidRPr="00B3102E" w:rsidRDefault="00CA6F2E" w:rsidP="008840BD">
      <w:pPr>
        <w:pStyle w:val="ListParagraph"/>
        <w:numPr>
          <w:ilvl w:val="2"/>
          <w:numId w:val="10"/>
        </w:numPr>
      </w:pPr>
      <w:r w:rsidRPr="00B3102E">
        <w:t>Access control</w:t>
      </w:r>
      <w:r w:rsidR="0099504B" w:rsidRPr="00B3102E">
        <w:t>s</w:t>
      </w:r>
      <w:r w:rsidRPr="00B3102E">
        <w:t xml:space="preserve"> must follow a </w:t>
      </w:r>
      <w:r w:rsidR="0099504B" w:rsidRPr="00B3102E">
        <w:t xml:space="preserve">minimum </w:t>
      </w:r>
      <w:r w:rsidRPr="00B3102E">
        <w:t xml:space="preserve">standard build </w:t>
      </w:r>
      <w:r w:rsidR="00BC0687" w:rsidRPr="00B3102E">
        <w:t>practice to ensure safety,</w:t>
      </w:r>
      <w:r w:rsidR="0099504B" w:rsidRPr="00B3102E">
        <w:t xml:space="preserve"> monitoring and </w:t>
      </w:r>
      <w:r w:rsidR="003370B1" w:rsidRPr="00B3102E">
        <w:t>alarming.</w:t>
      </w:r>
      <w:r w:rsidR="001D2478" w:rsidRPr="00B3102E">
        <w:t xml:space="preserve"> See “New Door installation Specification” document for more information.</w:t>
      </w:r>
      <w:r w:rsidR="006470CD" w:rsidRPr="00B3102E">
        <w:br/>
      </w:r>
    </w:p>
    <w:p w14:paraId="58C4139A" w14:textId="68763E43" w:rsidR="00DA28B6" w:rsidRDefault="00DA28B6" w:rsidP="00420AB1">
      <w:pPr>
        <w:pStyle w:val="Heading1"/>
        <w:numPr>
          <w:ilvl w:val="0"/>
          <w:numId w:val="10"/>
        </w:numPr>
      </w:pPr>
      <w:r>
        <w:lastRenderedPageBreak/>
        <w:t>Exceptions.</w:t>
      </w:r>
    </w:p>
    <w:p w14:paraId="5748AD8D" w14:textId="688D40B6" w:rsidR="00DA28B6" w:rsidRDefault="00DA28B6" w:rsidP="00DA28B6">
      <w:pPr>
        <w:pStyle w:val="ListParagraph"/>
        <w:numPr>
          <w:ilvl w:val="1"/>
          <w:numId w:val="10"/>
        </w:numPr>
      </w:pPr>
      <w:r w:rsidRPr="00B3102E">
        <w:t>Temporary Cards</w:t>
      </w:r>
      <w:r>
        <w:t xml:space="preserve"> a</w:t>
      </w:r>
      <w:r w:rsidRPr="00B3102E">
        <w:t>re not required to be visually identifiable form of photo ID.</w:t>
      </w:r>
    </w:p>
    <w:p w14:paraId="70317AD2" w14:textId="7D325952" w:rsidR="00DA28B6" w:rsidRPr="00F44121" w:rsidRDefault="00D56AC3" w:rsidP="00DA28B6">
      <w:pPr>
        <w:pStyle w:val="ListParagraph"/>
        <w:numPr>
          <w:ilvl w:val="1"/>
          <w:numId w:val="10"/>
        </w:numPr>
      </w:pPr>
      <w:r>
        <w:t>Emergency services are exempt when responding to emergency.</w:t>
      </w:r>
    </w:p>
    <w:p w14:paraId="13B49D8A" w14:textId="77FA4F60" w:rsidR="006C2F06" w:rsidRPr="00B3102E" w:rsidRDefault="00B44557" w:rsidP="00420AB1">
      <w:pPr>
        <w:pStyle w:val="Heading1"/>
        <w:numPr>
          <w:ilvl w:val="0"/>
          <w:numId w:val="10"/>
        </w:numPr>
      </w:pPr>
      <w:r>
        <w:t>Failure to comply.</w:t>
      </w:r>
    </w:p>
    <w:p w14:paraId="04D7BB6D" w14:textId="3F0CEBE9" w:rsidR="005236A1" w:rsidRPr="00B3102E" w:rsidRDefault="005236A1" w:rsidP="005236A1">
      <w:pPr>
        <w:rPr>
          <w:sz w:val="24"/>
          <w:szCs w:val="24"/>
        </w:rPr>
      </w:pPr>
      <w:r w:rsidRPr="00B3102E">
        <w:rPr>
          <w:sz w:val="24"/>
          <w:szCs w:val="24"/>
        </w:rPr>
        <w:t xml:space="preserve">Any violation of this policy should </w:t>
      </w:r>
      <w:r w:rsidR="00E239F7" w:rsidRPr="00B3102E">
        <w:rPr>
          <w:sz w:val="24"/>
          <w:szCs w:val="24"/>
        </w:rPr>
        <w:t xml:space="preserve">be brought to the attention of the Head of IT and the Information Security Manager, </w:t>
      </w:r>
      <w:r w:rsidR="00745546" w:rsidRPr="00B3102E">
        <w:rPr>
          <w:sz w:val="24"/>
          <w:szCs w:val="24"/>
        </w:rPr>
        <w:t>who</w:t>
      </w:r>
      <w:r w:rsidR="00E239F7" w:rsidRPr="00B3102E">
        <w:rPr>
          <w:sz w:val="24"/>
          <w:szCs w:val="24"/>
        </w:rPr>
        <w:t xml:space="preserve"> will work with the relevant department heads or </w:t>
      </w:r>
      <w:r w:rsidR="00A34F12" w:rsidRPr="00B3102E">
        <w:rPr>
          <w:sz w:val="24"/>
          <w:szCs w:val="24"/>
        </w:rPr>
        <w:t>appropriate individuals to rectify the problem.</w:t>
      </w:r>
    </w:p>
    <w:p w14:paraId="4C824507" w14:textId="77777777" w:rsidR="00DA28B6" w:rsidRPr="00B3102E" w:rsidRDefault="00DA28B6" w:rsidP="00DA28B6">
      <w:pPr>
        <w:pStyle w:val="Heading1"/>
        <w:numPr>
          <w:ilvl w:val="0"/>
          <w:numId w:val="10"/>
        </w:numPr>
      </w:pPr>
      <w:r w:rsidRPr="00B3102E">
        <w:t>Access Review Auditing</w:t>
      </w:r>
    </w:p>
    <w:p w14:paraId="3C9EFEBA" w14:textId="77777777" w:rsidR="00DA28B6" w:rsidRDefault="00DA28B6" w:rsidP="00DA28B6">
      <w:r w:rsidRPr="00B3102E">
        <w:t>Regular access review audits are carried out to ensure the effectiveness of the physical access system, ensure the effectiveness of the Policy and procedures and instil confidence with stake holder regarding physical security</w:t>
      </w:r>
      <w:r>
        <w:t>.</w:t>
      </w:r>
    </w:p>
    <w:p w14:paraId="3A9EEF9A" w14:textId="77777777" w:rsidR="00DA28B6" w:rsidRPr="00B3102E" w:rsidRDefault="00DA28B6" w:rsidP="00DA28B6">
      <w:pPr>
        <w:pStyle w:val="ListParagraph"/>
        <w:numPr>
          <w:ilvl w:val="1"/>
          <w:numId w:val="10"/>
        </w:numPr>
      </w:pPr>
      <w:r w:rsidRPr="00B3102E">
        <w:t>Access review Audits must be carried out at least every 3 months with the relevant area owners.</w:t>
      </w:r>
    </w:p>
    <w:p w14:paraId="7E5AAC1A" w14:textId="77777777" w:rsidR="00DA28B6" w:rsidRPr="00B3102E" w:rsidRDefault="00DA28B6" w:rsidP="00DA28B6">
      <w:pPr>
        <w:pStyle w:val="ListParagraph"/>
        <w:numPr>
          <w:ilvl w:val="1"/>
          <w:numId w:val="10"/>
        </w:numPr>
      </w:pPr>
      <w:r w:rsidRPr="00B3102E">
        <w:t>All access reviews must include all active accounts where any form of access is granted.</w:t>
      </w:r>
    </w:p>
    <w:p w14:paraId="77895462" w14:textId="77777777" w:rsidR="00DA28B6" w:rsidRDefault="00DA28B6" w:rsidP="00DA28B6">
      <w:pPr>
        <w:pStyle w:val="ListParagraph"/>
        <w:numPr>
          <w:ilvl w:val="1"/>
          <w:numId w:val="10"/>
        </w:numPr>
      </w:pPr>
      <w:r w:rsidRPr="00B3102E">
        <w:t>Each individual account must be scrutinised during the audit and separate approval for each account must be recorded.</w:t>
      </w:r>
    </w:p>
    <w:p w14:paraId="6A772604" w14:textId="77777777" w:rsidR="00DA28B6" w:rsidRPr="00B3102E" w:rsidRDefault="00DA28B6" w:rsidP="00DA28B6">
      <w:pPr>
        <w:pStyle w:val="ListParagraph"/>
        <w:numPr>
          <w:ilvl w:val="1"/>
          <w:numId w:val="10"/>
        </w:numPr>
      </w:pPr>
      <w:r w:rsidRPr="00B3102E">
        <w:t>All audits must be recorded.</w:t>
      </w:r>
      <w:r w:rsidRPr="00B3102E">
        <w:br/>
      </w:r>
    </w:p>
    <w:p w14:paraId="36BAC38A" w14:textId="77777777" w:rsidR="00864CC1" w:rsidRPr="00B3102E" w:rsidRDefault="00864CC1" w:rsidP="00864CC1">
      <w:pPr>
        <w:rPr>
          <w:sz w:val="24"/>
          <w:szCs w:val="24"/>
        </w:rPr>
      </w:pPr>
    </w:p>
    <w:sectPr w:rsidR="00864CC1" w:rsidRPr="00B3102E" w:rsidSect="00DF3F8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FC86" w14:textId="77777777" w:rsidR="00CC44F6" w:rsidRDefault="00CC44F6" w:rsidP="0092700F">
      <w:pPr>
        <w:spacing w:after="0" w:line="240" w:lineRule="auto"/>
      </w:pPr>
      <w:r>
        <w:separator/>
      </w:r>
    </w:p>
  </w:endnote>
  <w:endnote w:type="continuationSeparator" w:id="0">
    <w:p w14:paraId="0B5AF3E0" w14:textId="77777777" w:rsidR="00CC44F6" w:rsidRDefault="00CC44F6" w:rsidP="0092700F">
      <w:pPr>
        <w:spacing w:after="0" w:line="240" w:lineRule="auto"/>
      </w:pPr>
      <w:r>
        <w:continuationSeparator/>
      </w:r>
    </w:p>
  </w:endnote>
  <w:endnote w:type="continuationNotice" w:id="1">
    <w:p w14:paraId="36A77313" w14:textId="77777777" w:rsidR="00CC44F6" w:rsidRDefault="00CC4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7EC2" w14:textId="37413FD4" w:rsidR="00B964A7" w:rsidRDefault="00F765A0">
    <w:pPr>
      <w:pStyle w:val="Footer"/>
    </w:pPr>
    <w:r>
      <w:rPr>
        <w:noProof/>
      </w:rPr>
      <mc:AlternateContent>
        <mc:Choice Requires="wps">
          <w:drawing>
            <wp:anchor distT="0" distB="0" distL="0" distR="0" simplePos="0" relativeHeight="251659264" behindDoc="0" locked="0" layoutInCell="1" allowOverlap="1" wp14:anchorId="5D3A6B99" wp14:editId="479D92F9">
              <wp:simplePos x="635" y="635"/>
              <wp:positionH relativeFrom="column">
                <wp:align>center</wp:align>
              </wp:positionH>
              <wp:positionV relativeFrom="paragraph">
                <wp:posOffset>635</wp:posOffset>
              </wp:positionV>
              <wp:extent cx="443865" cy="443865"/>
              <wp:effectExtent l="0" t="0" r="1270" b="17145"/>
              <wp:wrapSquare wrapText="bothSides"/>
              <wp:docPr id="4" name="Text Box 4"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7574B" w14:textId="55BCD0A8"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3A6B99" id="_x0000_t202" coordsize="21600,21600" o:spt="202" path="m,l,21600r21600,l21600,xe">
              <v:stroke joinstyle="miter"/>
              <v:path gradientshapeok="t" o:connecttype="rect"/>
            </v:shapetype>
            <v:shape id="Text Box 4"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457574B" w14:textId="55BCD0A8"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70302" w:rsidRPr="00E70302" w14:paraId="475C4C29" w14:textId="77777777" w:rsidTr="2B18F497">
      <w:trPr>
        <w:trHeight w:val="443"/>
        <w:jc w:val="center"/>
      </w:trPr>
      <w:tc>
        <w:tcPr>
          <w:tcW w:w="850" w:type="pct"/>
          <w:shd w:val="clear" w:color="auto" w:fill="D9D9D9" w:themeFill="background1" w:themeFillShade="D9"/>
          <w:vAlign w:val="center"/>
        </w:tcPr>
        <w:p w14:paraId="40B3E609" w14:textId="6E0622A6" w:rsidR="00E70302" w:rsidRPr="00E70302" w:rsidRDefault="2B18F497" w:rsidP="0C3EC118">
          <w:pPr>
            <w:pStyle w:val="Footer"/>
            <w:rPr>
              <w:b/>
              <w:bCs/>
            </w:rPr>
          </w:pPr>
          <w:r w:rsidRPr="0C3EC118">
            <w:rPr>
              <w:b/>
              <w:bCs/>
            </w:rPr>
            <w:t>Classification</w:t>
          </w:r>
        </w:p>
      </w:tc>
      <w:tc>
        <w:tcPr>
          <w:tcW w:w="1343" w:type="pct"/>
          <w:vAlign w:val="center"/>
        </w:tcPr>
        <w:p w14:paraId="508CBA84" w14:textId="06B8D0F8" w:rsidR="00E70302" w:rsidRPr="00E70302" w:rsidRDefault="00E70302" w:rsidP="0C3EC118">
          <w:pPr>
            <w:pStyle w:val="Footer"/>
            <w:rPr>
              <w:b/>
              <w:bCs/>
            </w:rPr>
          </w:pPr>
          <w:r>
            <w:rPr>
              <w:noProof/>
            </w:rPr>
            <mc:AlternateContent>
              <mc:Choice Requires="wps">
                <w:drawing>
                  <wp:inline distT="0" distB="0" distL="0" distR="0" wp14:anchorId="73A843DF" wp14:editId="03DA5EAF">
                    <wp:extent cx="1084580" cy="268605"/>
                    <wp:effectExtent l="0" t="0" r="1270" b="17145"/>
                    <wp:docPr id="2100011486"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4580" cy="268605"/>
                            </a:xfrm>
                            <a:prstGeom prst="rect">
                              <a:avLst/>
                            </a:prstGeom>
                            <a:noFill/>
                            <a:ln>
                              <a:noFill/>
                            </a:ln>
                          </wps:spPr>
                          <wps:txbx>
                            <w:txbxContent>
                              <w:p w14:paraId="0AF22B84" w14:textId="77777777"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3A843DF" id="_x0000_t202" coordsize="21600,21600" o:spt="202" path="m,l,21600r21600,l21600,xe">
                    <v:stroke joinstyle="miter"/>
                    <v:path gradientshapeok="t" o:connecttype="rect"/>
                  </v:shapetype>
                  <v:shape id="Text Box 5" o:spid="_x0000_s1027" type="#_x0000_t202" alt="Unrestricted Grade 0" style="width:85.4pt;height:2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" filled="f" stroked="f">
                    <v:textbox style="mso-fit-shape-to-text:t" inset="0,0,0,0">
                      <w:txbxContent>
                        <w:p w14:paraId="0AF22B84" w14:textId="77777777"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v:textbox>
                    <w10:anchorlock/>
                  </v:shape>
                </w:pict>
              </mc:Fallback>
            </mc:AlternateContent>
          </w:r>
        </w:p>
      </w:tc>
      <w:tc>
        <w:tcPr>
          <w:tcW w:w="716" w:type="pct"/>
          <w:shd w:val="clear" w:color="auto" w:fill="D9D9D9" w:themeFill="background1" w:themeFillShade="D9"/>
          <w:vAlign w:val="center"/>
        </w:tcPr>
        <w:p w14:paraId="41DC2C39" w14:textId="77777777" w:rsidR="00E70302" w:rsidRPr="00E70302" w:rsidRDefault="00E70302" w:rsidP="00E70302">
          <w:pPr>
            <w:pStyle w:val="Footer"/>
            <w:rPr>
              <w:b/>
            </w:rPr>
          </w:pPr>
          <w:r w:rsidRPr="00E70302">
            <w:rPr>
              <w:b/>
            </w:rPr>
            <w:t>Reference</w:t>
          </w:r>
        </w:p>
      </w:tc>
      <w:tc>
        <w:tcPr>
          <w:tcW w:w="914" w:type="pct"/>
          <w:vAlign w:val="center"/>
        </w:tcPr>
        <w:p w14:paraId="3699717B" w14:textId="6D9A25A6" w:rsidR="00E70302" w:rsidRPr="00E70302" w:rsidRDefault="00864CC1" w:rsidP="00E70302">
          <w:pPr>
            <w:pStyle w:val="Footer"/>
          </w:pPr>
          <w:r>
            <w:t>Physical Access Policy</w:t>
          </w:r>
        </w:p>
      </w:tc>
      <w:tc>
        <w:tcPr>
          <w:tcW w:w="626" w:type="pct"/>
          <w:shd w:val="clear" w:color="auto" w:fill="D9D9D9" w:themeFill="background1" w:themeFillShade="D9"/>
          <w:vAlign w:val="center"/>
        </w:tcPr>
        <w:p w14:paraId="37A34F4E" w14:textId="77777777" w:rsidR="00E70302" w:rsidRPr="00E70302" w:rsidRDefault="00E70302" w:rsidP="00E70302">
          <w:pPr>
            <w:pStyle w:val="Footer"/>
            <w:rPr>
              <w:b/>
            </w:rPr>
          </w:pPr>
          <w:r w:rsidRPr="00E70302">
            <w:rPr>
              <w:b/>
            </w:rPr>
            <w:t xml:space="preserve">Page </w:t>
          </w:r>
        </w:p>
      </w:tc>
      <w:tc>
        <w:tcPr>
          <w:tcW w:w="550" w:type="pct"/>
          <w:vAlign w:val="center"/>
        </w:tcPr>
        <w:p w14:paraId="0F263217" w14:textId="77777777" w:rsidR="00E70302" w:rsidRPr="00E70302" w:rsidRDefault="00E70302" w:rsidP="00E70302">
          <w:pPr>
            <w:pStyle w:val="Footer"/>
          </w:pPr>
          <w:r w:rsidRPr="00E70302">
            <w:t xml:space="preserve"> </w:t>
          </w:r>
          <w:r w:rsidRPr="00E70302">
            <w:fldChar w:fldCharType="begin"/>
          </w:r>
          <w:r w:rsidRPr="00E70302">
            <w:instrText xml:space="preserve"> PAGE   \* MERGEFORMAT </w:instrText>
          </w:r>
          <w:r w:rsidRPr="00E70302">
            <w:fldChar w:fldCharType="separate"/>
          </w:r>
          <w:r w:rsidRPr="00E70302">
            <w:t>1</w:t>
          </w:r>
          <w:r w:rsidRPr="00E70302">
            <w:fldChar w:fldCharType="end"/>
          </w:r>
          <w:r w:rsidRPr="00E70302">
            <w:t xml:space="preserve"> of </w:t>
          </w:r>
          <w:fldSimple w:instr="NUMPAGES   \* MERGEFORMAT">
            <w:r w:rsidRPr="00E70302">
              <w:t>2</w:t>
            </w:r>
          </w:fldSimple>
        </w:p>
      </w:tc>
    </w:tr>
  </w:tbl>
  <w:p w14:paraId="3A625A83" w14:textId="77777777" w:rsidR="00E70302" w:rsidRDefault="00E70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43E1" w14:textId="04724056" w:rsidR="00B964A7" w:rsidRDefault="00F765A0">
    <w:pPr>
      <w:pStyle w:val="Footer"/>
    </w:pPr>
    <w:r>
      <w:rPr>
        <w:noProof/>
      </w:rPr>
      <mc:AlternateContent>
        <mc:Choice Requires="wps">
          <w:drawing>
            <wp:anchor distT="0" distB="0" distL="0" distR="0" simplePos="0" relativeHeight="251658240" behindDoc="0" locked="0" layoutInCell="1" allowOverlap="1" wp14:anchorId="2E1AD67F" wp14:editId="6FBF1CCF">
              <wp:simplePos x="635" y="635"/>
              <wp:positionH relativeFrom="column">
                <wp:align>center</wp:align>
              </wp:positionH>
              <wp:positionV relativeFrom="paragraph">
                <wp:posOffset>635</wp:posOffset>
              </wp:positionV>
              <wp:extent cx="443865" cy="443865"/>
              <wp:effectExtent l="0" t="0" r="1270" b="17145"/>
              <wp:wrapSquare wrapText="bothSides"/>
              <wp:docPr id="3" name="Text Box 3"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1BDAB" w14:textId="44363C96"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1AD67F" id="_x0000_t202" coordsize="21600,21600" o:spt="202" path="m,l,21600r21600,l21600,xe">
              <v:stroke joinstyle="miter"/>
              <v:path gradientshapeok="t" o:connecttype="rect"/>
            </v:shapetype>
            <v:shape id="Text Box 3"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9E1BDAB" w14:textId="44363C96" w:rsidR="00F765A0" w:rsidRPr="00F765A0" w:rsidRDefault="00F765A0">
                    <w:pPr>
                      <w:rPr>
                        <w:rFonts w:ascii="Calibri" w:eastAsia="Calibri" w:hAnsi="Calibri" w:cs="Calibri"/>
                        <w:noProof/>
                        <w:color w:val="008000"/>
                        <w:sz w:val="20"/>
                        <w:szCs w:val="20"/>
                      </w:rPr>
                    </w:pPr>
                    <w:r w:rsidRPr="00F765A0">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3ECF" w14:textId="77777777" w:rsidR="00CC44F6" w:rsidRDefault="00CC44F6" w:rsidP="0092700F">
      <w:pPr>
        <w:spacing w:after="0" w:line="240" w:lineRule="auto"/>
      </w:pPr>
      <w:r>
        <w:separator/>
      </w:r>
    </w:p>
  </w:footnote>
  <w:footnote w:type="continuationSeparator" w:id="0">
    <w:p w14:paraId="5CC58704" w14:textId="77777777" w:rsidR="00CC44F6" w:rsidRDefault="00CC44F6" w:rsidP="0092700F">
      <w:pPr>
        <w:spacing w:after="0" w:line="240" w:lineRule="auto"/>
      </w:pPr>
      <w:r>
        <w:continuationSeparator/>
      </w:r>
    </w:p>
  </w:footnote>
  <w:footnote w:type="continuationNotice" w:id="1">
    <w:p w14:paraId="54A91F94" w14:textId="77777777" w:rsidR="00CC44F6" w:rsidRDefault="00CC4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25A" w14:textId="77777777" w:rsidR="00B964A7" w:rsidRDefault="00B9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08A0" w14:textId="77777777" w:rsidR="0092700F" w:rsidRDefault="0092700F" w:rsidP="00DF3F82">
    <w:pPr>
      <w:tabs>
        <w:tab w:val="right" w:pos="10326"/>
      </w:tabs>
      <w:jc w:val="right"/>
    </w:pPr>
    <w:r>
      <w:rPr>
        <w:noProof/>
      </w:rPr>
      <w:drawing>
        <wp:inline distT="0" distB="0" distL="0" distR="0" wp14:anchorId="566FA2B8" wp14:editId="66EBCEF4">
          <wp:extent cx="2287937" cy="914400"/>
          <wp:effectExtent l="0" t="0" r="0" b="0"/>
          <wp:docPr id="1889468716" name="Picture 188946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87937"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39AB" w14:textId="77777777" w:rsidR="00B964A7" w:rsidRDefault="00B96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A16"/>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C36FAA"/>
    <w:multiLevelType w:val="multilevel"/>
    <w:tmpl w:val="F2BE1BB8"/>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11B742FD"/>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E77C47"/>
    <w:multiLevelType w:val="multilevel"/>
    <w:tmpl w:val="7018B6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770"/>
      </w:pPr>
      <w:rPr>
        <w:rFonts w:hint="default"/>
      </w:rPr>
    </w:lvl>
    <w:lvl w:ilvl="3">
      <w:start w:val="1"/>
      <w:numFmt w:val="decimal"/>
      <w:lvlText w:val="%1.%2.%3.%4."/>
      <w:lvlJc w:val="left"/>
      <w:pPr>
        <w:ind w:left="1728" w:hanging="11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CF33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50A93"/>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2D16F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1770B3"/>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CD20B0E"/>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39906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F4AD0"/>
    <w:multiLevelType w:val="hybridMultilevel"/>
    <w:tmpl w:val="96EA1F60"/>
    <w:lvl w:ilvl="0" w:tplc="08090001">
      <w:start w:val="1"/>
      <w:numFmt w:val="bullet"/>
      <w:lvlText w:val=""/>
      <w:lvlJc w:val="left"/>
      <w:pPr>
        <w:ind w:left="815" w:hanging="360"/>
      </w:pPr>
      <w:rPr>
        <w:rFonts w:ascii="Symbol" w:hAnsi="Symbol" w:hint="default"/>
      </w:rPr>
    </w:lvl>
    <w:lvl w:ilvl="1" w:tplc="08090003">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1" w15:restartNumberingAfterBreak="0">
    <w:nsid w:val="5278059A"/>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3285C87"/>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A57E4E"/>
    <w:multiLevelType w:val="hybridMultilevel"/>
    <w:tmpl w:val="A85E8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070915"/>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0030F7F"/>
    <w:multiLevelType w:val="hybridMultilevel"/>
    <w:tmpl w:val="5E3A6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717A5"/>
    <w:multiLevelType w:val="hybridMultilevel"/>
    <w:tmpl w:val="96D4C7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0D0A19"/>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A342B3A"/>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BDB734D"/>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81D4A87"/>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C1203DD"/>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06725733">
    <w:abstractNumId w:val="10"/>
  </w:num>
  <w:num w:numId="2" w16cid:durableId="773789435">
    <w:abstractNumId w:val="18"/>
  </w:num>
  <w:num w:numId="3" w16cid:durableId="478040791">
    <w:abstractNumId w:val="11"/>
  </w:num>
  <w:num w:numId="4" w16cid:durableId="1048926">
    <w:abstractNumId w:val="17"/>
  </w:num>
  <w:num w:numId="5" w16cid:durableId="937325570">
    <w:abstractNumId w:val="16"/>
  </w:num>
  <w:num w:numId="6" w16cid:durableId="1798255494">
    <w:abstractNumId w:val="2"/>
  </w:num>
  <w:num w:numId="7" w16cid:durableId="1729768229">
    <w:abstractNumId w:val="8"/>
  </w:num>
  <w:num w:numId="8" w16cid:durableId="17125197">
    <w:abstractNumId w:val="13"/>
  </w:num>
  <w:num w:numId="9" w16cid:durableId="1135027316">
    <w:abstractNumId w:val="15"/>
  </w:num>
  <w:num w:numId="10" w16cid:durableId="1409301711">
    <w:abstractNumId w:val="3"/>
  </w:num>
  <w:num w:numId="11" w16cid:durableId="657927485">
    <w:abstractNumId w:val="19"/>
  </w:num>
  <w:num w:numId="12" w16cid:durableId="818618547">
    <w:abstractNumId w:val="21"/>
  </w:num>
  <w:num w:numId="13" w16cid:durableId="46537801">
    <w:abstractNumId w:val="1"/>
  </w:num>
  <w:num w:numId="14" w16cid:durableId="1488746950">
    <w:abstractNumId w:val="7"/>
  </w:num>
  <w:num w:numId="15" w16cid:durableId="693504420">
    <w:abstractNumId w:val="12"/>
  </w:num>
  <w:num w:numId="16" w16cid:durableId="841625590">
    <w:abstractNumId w:val="5"/>
  </w:num>
  <w:num w:numId="17" w16cid:durableId="2125803025">
    <w:abstractNumId w:val="0"/>
  </w:num>
  <w:num w:numId="18" w16cid:durableId="1663728992">
    <w:abstractNumId w:val="9"/>
  </w:num>
  <w:num w:numId="19" w16cid:durableId="2058040542">
    <w:abstractNumId w:val="20"/>
  </w:num>
  <w:num w:numId="20" w16cid:durableId="170074470">
    <w:abstractNumId w:val="14"/>
  </w:num>
  <w:num w:numId="21" w16cid:durableId="627010708">
    <w:abstractNumId w:val="4"/>
  </w:num>
  <w:num w:numId="22" w16cid:durableId="965890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0F"/>
    <w:rsid w:val="00012EAD"/>
    <w:rsid w:val="000219D5"/>
    <w:rsid w:val="00021AB3"/>
    <w:rsid w:val="00021EB3"/>
    <w:rsid w:val="00037727"/>
    <w:rsid w:val="000408D6"/>
    <w:rsid w:val="000437E1"/>
    <w:rsid w:val="00044779"/>
    <w:rsid w:val="00046141"/>
    <w:rsid w:val="000513ED"/>
    <w:rsid w:val="00061D6B"/>
    <w:rsid w:val="00062EB5"/>
    <w:rsid w:val="0006458D"/>
    <w:rsid w:val="00096C4A"/>
    <w:rsid w:val="000B4C6D"/>
    <w:rsid w:val="000D7AFA"/>
    <w:rsid w:val="000F09B3"/>
    <w:rsid w:val="000F30B4"/>
    <w:rsid w:val="000F4835"/>
    <w:rsid w:val="00107874"/>
    <w:rsid w:val="001126AE"/>
    <w:rsid w:val="00112989"/>
    <w:rsid w:val="00121551"/>
    <w:rsid w:val="00125F32"/>
    <w:rsid w:val="00135B9B"/>
    <w:rsid w:val="00141EE4"/>
    <w:rsid w:val="001466F3"/>
    <w:rsid w:val="00146C46"/>
    <w:rsid w:val="00147867"/>
    <w:rsid w:val="00153A27"/>
    <w:rsid w:val="001645D9"/>
    <w:rsid w:val="00166C5C"/>
    <w:rsid w:val="0017405D"/>
    <w:rsid w:val="00182E2A"/>
    <w:rsid w:val="00191FE8"/>
    <w:rsid w:val="00195226"/>
    <w:rsid w:val="001C556F"/>
    <w:rsid w:val="001D118D"/>
    <w:rsid w:val="001D2478"/>
    <w:rsid w:val="001D4745"/>
    <w:rsid w:val="001E3419"/>
    <w:rsid w:val="001F0986"/>
    <w:rsid w:val="002009EC"/>
    <w:rsid w:val="002018B4"/>
    <w:rsid w:val="00215F94"/>
    <w:rsid w:val="00216A92"/>
    <w:rsid w:val="00217060"/>
    <w:rsid w:val="0022521A"/>
    <w:rsid w:val="00231CD3"/>
    <w:rsid w:val="00233DDF"/>
    <w:rsid w:val="002454E9"/>
    <w:rsid w:val="00254A01"/>
    <w:rsid w:val="00257AD1"/>
    <w:rsid w:val="00261043"/>
    <w:rsid w:val="0026441F"/>
    <w:rsid w:val="0027765B"/>
    <w:rsid w:val="002805BF"/>
    <w:rsid w:val="0028077A"/>
    <w:rsid w:val="00294641"/>
    <w:rsid w:val="002C24C5"/>
    <w:rsid w:val="002C2E7E"/>
    <w:rsid w:val="002D3E08"/>
    <w:rsid w:val="002E7525"/>
    <w:rsid w:val="002F4BAB"/>
    <w:rsid w:val="003044D5"/>
    <w:rsid w:val="003133FE"/>
    <w:rsid w:val="003341B8"/>
    <w:rsid w:val="003370B1"/>
    <w:rsid w:val="00354A48"/>
    <w:rsid w:val="0035500C"/>
    <w:rsid w:val="003551C5"/>
    <w:rsid w:val="003628E4"/>
    <w:rsid w:val="003737D6"/>
    <w:rsid w:val="00383A07"/>
    <w:rsid w:val="00384316"/>
    <w:rsid w:val="00395E55"/>
    <w:rsid w:val="003A49DC"/>
    <w:rsid w:val="003A7940"/>
    <w:rsid w:val="003B06E5"/>
    <w:rsid w:val="003C1752"/>
    <w:rsid w:val="003C33B8"/>
    <w:rsid w:val="003D071D"/>
    <w:rsid w:val="003E64E9"/>
    <w:rsid w:val="003F2549"/>
    <w:rsid w:val="004010BC"/>
    <w:rsid w:val="004111FF"/>
    <w:rsid w:val="00420AB1"/>
    <w:rsid w:val="0043274D"/>
    <w:rsid w:val="00434FC7"/>
    <w:rsid w:val="00443E84"/>
    <w:rsid w:val="004452F9"/>
    <w:rsid w:val="0046771F"/>
    <w:rsid w:val="004719F2"/>
    <w:rsid w:val="00472CD2"/>
    <w:rsid w:val="00477745"/>
    <w:rsid w:val="0048324C"/>
    <w:rsid w:val="00483781"/>
    <w:rsid w:val="00491797"/>
    <w:rsid w:val="004A074E"/>
    <w:rsid w:val="004B1B08"/>
    <w:rsid w:val="004C144B"/>
    <w:rsid w:val="004C41FB"/>
    <w:rsid w:val="004C5357"/>
    <w:rsid w:val="004C6EAC"/>
    <w:rsid w:val="004D33CD"/>
    <w:rsid w:val="004D4D2D"/>
    <w:rsid w:val="005110A3"/>
    <w:rsid w:val="005236A1"/>
    <w:rsid w:val="00527553"/>
    <w:rsid w:val="00532BFB"/>
    <w:rsid w:val="00535950"/>
    <w:rsid w:val="00545D33"/>
    <w:rsid w:val="00552AC7"/>
    <w:rsid w:val="00557E71"/>
    <w:rsid w:val="00560345"/>
    <w:rsid w:val="005651F3"/>
    <w:rsid w:val="00566DCD"/>
    <w:rsid w:val="00567DD8"/>
    <w:rsid w:val="0057681F"/>
    <w:rsid w:val="005842F3"/>
    <w:rsid w:val="0058477F"/>
    <w:rsid w:val="00590A53"/>
    <w:rsid w:val="005A55BF"/>
    <w:rsid w:val="005C6794"/>
    <w:rsid w:val="005C75BD"/>
    <w:rsid w:val="005D3D29"/>
    <w:rsid w:val="005E080F"/>
    <w:rsid w:val="005E113D"/>
    <w:rsid w:val="005E5C4F"/>
    <w:rsid w:val="005F7E8C"/>
    <w:rsid w:val="00606D98"/>
    <w:rsid w:val="00607610"/>
    <w:rsid w:val="00615C72"/>
    <w:rsid w:val="00616F80"/>
    <w:rsid w:val="0062793E"/>
    <w:rsid w:val="006301AA"/>
    <w:rsid w:val="00632D50"/>
    <w:rsid w:val="00633F69"/>
    <w:rsid w:val="00644467"/>
    <w:rsid w:val="006470CD"/>
    <w:rsid w:val="00651766"/>
    <w:rsid w:val="00651EDD"/>
    <w:rsid w:val="00663FAF"/>
    <w:rsid w:val="006657E0"/>
    <w:rsid w:val="006803A7"/>
    <w:rsid w:val="006809AC"/>
    <w:rsid w:val="00680A0B"/>
    <w:rsid w:val="00685EC3"/>
    <w:rsid w:val="0069435D"/>
    <w:rsid w:val="006A620E"/>
    <w:rsid w:val="006B3A55"/>
    <w:rsid w:val="006C2F06"/>
    <w:rsid w:val="006C70D6"/>
    <w:rsid w:val="006D00D4"/>
    <w:rsid w:val="006D1FB1"/>
    <w:rsid w:val="006D6A4B"/>
    <w:rsid w:val="006D6DE5"/>
    <w:rsid w:val="006E3680"/>
    <w:rsid w:val="006E5AC4"/>
    <w:rsid w:val="006F03EB"/>
    <w:rsid w:val="006F5892"/>
    <w:rsid w:val="007042E4"/>
    <w:rsid w:val="00707D9A"/>
    <w:rsid w:val="0071288F"/>
    <w:rsid w:val="007154DB"/>
    <w:rsid w:val="0071626C"/>
    <w:rsid w:val="00730B11"/>
    <w:rsid w:val="00735477"/>
    <w:rsid w:val="00735527"/>
    <w:rsid w:val="00741AF1"/>
    <w:rsid w:val="00742E62"/>
    <w:rsid w:val="00745546"/>
    <w:rsid w:val="00753C36"/>
    <w:rsid w:val="00755C81"/>
    <w:rsid w:val="00790F98"/>
    <w:rsid w:val="007910A2"/>
    <w:rsid w:val="0079231A"/>
    <w:rsid w:val="007A2D1A"/>
    <w:rsid w:val="007A5BD2"/>
    <w:rsid w:val="007B4078"/>
    <w:rsid w:val="007B464F"/>
    <w:rsid w:val="007D0450"/>
    <w:rsid w:val="007D10B8"/>
    <w:rsid w:val="007D63D3"/>
    <w:rsid w:val="007D7EA0"/>
    <w:rsid w:val="007E2D64"/>
    <w:rsid w:val="007E6449"/>
    <w:rsid w:val="007E6475"/>
    <w:rsid w:val="00810A36"/>
    <w:rsid w:val="00817A2B"/>
    <w:rsid w:val="00823D49"/>
    <w:rsid w:val="008351D1"/>
    <w:rsid w:val="00844595"/>
    <w:rsid w:val="00847540"/>
    <w:rsid w:val="008501C5"/>
    <w:rsid w:val="00864CC1"/>
    <w:rsid w:val="008840BD"/>
    <w:rsid w:val="00884616"/>
    <w:rsid w:val="00884E17"/>
    <w:rsid w:val="00895964"/>
    <w:rsid w:val="008C5226"/>
    <w:rsid w:val="008F643A"/>
    <w:rsid w:val="009151A6"/>
    <w:rsid w:val="00920124"/>
    <w:rsid w:val="00925764"/>
    <w:rsid w:val="0092700F"/>
    <w:rsid w:val="009356E0"/>
    <w:rsid w:val="00943456"/>
    <w:rsid w:val="00964073"/>
    <w:rsid w:val="0096439A"/>
    <w:rsid w:val="00964EBD"/>
    <w:rsid w:val="00971AFC"/>
    <w:rsid w:val="00972B63"/>
    <w:rsid w:val="009742CF"/>
    <w:rsid w:val="0098040A"/>
    <w:rsid w:val="00982B04"/>
    <w:rsid w:val="009926B3"/>
    <w:rsid w:val="0099504B"/>
    <w:rsid w:val="009A43EF"/>
    <w:rsid w:val="009A4F80"/>
    <w:rsid w:val="009B1602"/>
    <w:rsid w:val="009B4578"/>
    <w:rsid w:val="009C2056"/>
    <w:rsid w:val="009C5203"/>
    <w:rsid w:val="009E16DE"/>
    <w:rsid w:val="00A0427F"/>
    <w:rsid w:val="00A11E99"/>
    <w:rsid w:val="00A149CD"/>
    <w:rsid w:val="00A232B3"/>
    <w:rsid w:val="00A34EB8"/>
    <w:rsid w:val="00A34F12"/>
    <w:rsid w:val="00A45A65"/>
    <w:rsid w:val="00A71BD2"/>
    <w:rsid w:val="00A77678"/>
    <w:rsid w:val="00A81C8E"/>
    <w:rsid w:val="00A84C99"/>
    <w:rsid w:val="00A84CC5"/>
    <w:rsid w:val="00A8794F"/>
    <w:rsid w:val="00A92A10"/>
    <w:rsid w:val="00A930FA"/>
    <w:rsid w:val="00A97B7B"/>
    <w:rsid w:val="00AA1DF1"/>
    <w:rsid w:val="00AA1FE0"/>
    <w:rsid w:val="00AA5774"/>
    <w:rsid w:val="00AB20C9"/>
    <w:rsid w:val="00AB7823"/>
    <w:rsid w:val="00AC73DC"/>
    <w:rsid w:val="00AC7753"/>
    <w:rsid w:val="00AC7EC5"/>
    <w:rsid w:val="00AE3BE0"/>
    <w:rsid w:val="00AE5189"/>
    <w:rsid w:val="00AF1563"/>
    <w:rsid w:val="00AF5399"/>
    <w:rsid w:val="00AF6CD0"/>
    <w:rsid w:val="00B00BB6"/>
    <w:rsid w:val="00B10A79"/>
    <w:rsid w:val="00B15581"/>
    <w:rsid w:val="00B16B99"/>
    <w:rsid w:val="00B3102E"/>
    <w:rsid w:val="00B3278F"/>
    <w:rsid w:val="00B410C2"/>
    <w:rsid w:val="00B44557"/>
    <w:rsid w:val="00B4740B"/>
    <w:rsid w:val="00B50E79"/>
    <w:rsid w:val="00B52FE0"/>
    <w:rsid w:val="00B66586"/>
    <w:rsid w:val="00B73FBD"/>
    <w:rsid w:val="00B8617B"/>
    <w:rsid w:val="00B93E50"/>
    <w:rsid w:val="00B964A7"/>
    <w:rsid w:val="00BA2960"/>
    <w:rsid w:val="00BB2E4F"/>
    <w:rsid w:val="00BC0687"/>
    <w:rsid w:val="00BC3E0A"/>
    <w:rsid w:val="00BF0542"/>
    <w:rsid w:val="00C059AB"/>
    <w:rsid w:val="00C13786"/>
    <w:rsid w:val="00C14ECA"/>
    <w:rsid w:val="00C16342"/>
    <w:rsid w:val="00C21753"/>
    <w:rsid w:val="00C30322"/>
    <w:rsid w:val="00C35B91"/>
    <w:rsid w:val="00C81F7A"/>
    <w:rsid w:val="00C82031"/>
    <w:rsid w:val="00C97266"/>
    <w:rsid w:val="00C97503"/>
    <w:rsid w:val="00CA0DCF"/>
    <w:rsid w:val="00CA41DE"/>
    <w:rsid w:val="00CA6F2E"/>
    <w:rsid w:val="00CC44F6"/>
    <w:rsid w:val="00CD6AB3"/>
    <w:rsid w:val="00CD71AD"/>
    <w:rsid w:val="00CE384E"/>
    <w:rsid w:val="00D00590"/>
    <w:rsid w:val="00D03BE0"/>
    <w:rsid w:val="00D06541"/>
    <w:rsid w:val="00D1149C"/>
    <w:rsid w:val="00D13334"/>
    <w:rsid w:val="00D14442"/>
    <w:rsid w:val="00D15CA2"/>
    <w:rsid w:val="00D2697B"/>
    <w:rsid w:val="00D3576F"/>
    <w:rsid w:val="00D36A9B"/>
    <w:rsid w:val="00D412C9"/>
    <w:rsid w:val="00D503BA"/>
    <w:rsid w:val="00D516E9"/>
    <w:rsid w:val="00D56AC3"/>
    <w:rsid w:val="00D57EB5"/>
    <w:rsid w:val="00D64C37"/>
    <w:rsid w:val="00D66C24"/>
    <w:rsid w:val="00D6730F"/>
    <w:rsid w:val="00D718FD"/>
    <w:rsid w:val="00D732FB"/>
    <w:rsid w:val="00D80783"/>
    <w:rsid w:val="00D82195"/>
    <w:rsid w:val="00DA28B6"/>
    <w:rsid w:val="00DC491B"/>
    <w:rsid w:val="00DC6990"/>
    <w:rsid w:val="00DD54D1"/>
    <w:rsid w:val="00DD6980"/>
    <w:rsid w:val="00DF3F82"/>
    <w:rsid w:val="00E012D0"/>
    <w:rsid w:val="00E01428"/>
    <w:rsid w:val="00E06C3A"/>
    <w:rsid w:val="00E10C0B"/>
    <w:rsid w:val="00E2319F"/>
    <w:rsid w:val="00E239F7"/>
    <w:rsid w:val="00E3707F"/>
    <w:rsid w:val="00E45861"/>
    <w:rsid w:val="00E50737"/>
    <w:rsid w:val="00E52C25"/>
    <w:rsid w:val="00E52FE1"/>
    <w:rsid w:val="00E54B8B"/>
    <w:rsid w:val="00E609E0"/>
    <w:rsid w:val="00E638E4"/>
    <w:rsid w:val="00E70302"/>
    <w:rsid w:val="00E85B83"/>
    <w:rsid w:val="00EC1050"/>
    <w:rsid w:val="00EC2CDA"/>
    <w:rsid w:val="00ED2C83"/>
    <w:rsid w:val="00ED58D9"/>
    <w:rsid w:val="00EE2D48"/>
    <w:rsid w:val="00EE45A1"/>
    <w:rsid w:val="00EE6FB4"/>
    <w:rsid w:val="00EF1E53"/>
    <w:rsid w:val="00EF6405"/>
    <w:rsid w:val="00F10D2E"/>
    <w:rsid w:val="00F22D3E"/>
    <w:rsid w:val="00F24990"/>
    <w:rsid w:val="00F31CD8"/>
    <w:rsid w:val="00F44121"/>
    <w:rsid w:val="00F44631"/>
    <w:rsid w:val="00F5542D"/>
    <w:rsid w:val="00F57FB7"/>
    <w:rsid w:val="00F62CE0"/>
    <w:rsid w:val="00F644B5"/>
    <w:rsid w:val="00F659F6"/>
    <w:rsid w:val="00F765A0"/>
    <w:rsid w:val="00FA029F"/>
    <w:rsid w:val="00FA02D9"/>
    <w:rsid w:val="00FA2C40"/>
    <w:rsid w:val="00FB13EC"/>
    <w:rsid w:val="00FB5495"/>
    <w:rsid w:val="00FB633A"/>
    <w:rsid w:val="00FC6282"/>
    <w:rsid w:val="00FD394F"/>
    <w:rsid w:val="00FD495B"/>
    <w:rsid w:val="00FF0EAE"/>
    <w:rsid w:val="02B89FE7"/>
    <w:rsid w:val="0C3EC118"/>
    <w:rsid w:val="1876603C"/>
    <w:rsid w:val="1E9AF54A"/>
    <w:rsid w:val="1F5D5D13"/>
    <w:rsid w:val="2B18F497"/>
    <w:rsid w:val="4873C0FF"/>
    <w:rsid w:val="64928371"/>
    <w:rsid w:val="78E90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27FD84BF-1C75-4D75-865F-F88CC3D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table" w:styleId="TableGrid">
    <w:name w:val="Table Grid"/>
    <w:basedOn w:val="TableNormal"/>
    <w:uiPriority w:val="39"/>
    <w:rsid w:val="0098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4F80"/>
    <w:pPr>
      <w:spacing w:after="0" w:line="240" w:lineRule="auto"/>
    </w:pPr>
  </w:style>
  <w:style w:type="table" w:styleId="GridTable1Light-Accent2">
    <w:name w:val="Grid Table 1 Light Accent 2"/>
    <w:basedOn w:val="TableNormal"/>
    <w:uiPriority w:val="46"/>
    <w:rsid w:val="000B4C6D"/>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6D6A4B"/>
  </w:style>
  <w:style w:type="character" w:customStyle="1" w:styleId="eop">
    <w:name w:val="eop"/>
    <w:basedOn w:val="DefaultParagraphFont"/>
    <w:rsid w:val="006D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i:0#.f|membership|dh270@microlinkpc.com</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54BBED-5D99-4598-AA8C-E0EA84629D85}">
  <ds:schemaRefs>
    <ds:schemaRef ds:uri="http://schemas.openxmlformats.org/officeDocument/2006/bibliography"/>
  </ds:schemaRefs>
</ds:datastoreItem>
</file>

<file path=customXml/itemProps2.xml><?xml version="1.0" encoding="utf-8"?>
<ds:datastoreItem xmlns:ds="http://schemas.openxmlformats.org/officeDocument/2006/customXml" ds:itemID="{2C52E2C7-F213-44F6-B125-3ACF2E2E4C5C}">
  <ds:schemaRefs>
    <ds:schemaRef ds:uri="http://schemas.microsoft.com/sharepoint/v3/contenttype/forms"/>
  </ds:schemaRefs>
</ds:datastoreItem>
</file>

<file path=customXml/itemProps3.xml><?xml version="1.0" encoding="utf-8"?>
<ds:datastoreItem xmlns:ds="http://schemas.openxmlformats.org/officeDocument/2006/customXml" ds:itemID="{05C36150-8752-4C8E-B1B8-F25CB8E99E1D}"/>
</file>

<file path=customXml/itemProps4.xml><?xml version="1.0" encoding="utf-8"?>
<ds:datastoreItem xmlns:ds="http://schemas.openxmlformats.org/officeDocument/2006/customXml" ds:itemID="{45537912-0483-493D-86D9-ACB0CD73D1E9}">
  <ds:schemaRefs>
    <ds:schemaRef ds:uri="http://schemas.microsoft.com/office/2006/documentManagement/types"/>
    <ds:schemaRef ds:uri="http://purl.org/dc/elements/1.1/"/>
    <ds:schemaRef ds:uri="a51b3657-4338-4ee0-ad34-a383e43f905b"/>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409a0f59-6552-4628-bbd3-6bb74194cf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Henderson</dc:creator>
  <cp:keywords/>
  <dc:description/>
  <cp:lastModifiedBy>David J. Henderson</cp:lastModifiedBy>
  <cp:revision>349</cp:revision>
  <dcterms:created xsi:type="dcterms:W3CDTF">2022-09-30T10:41:00Z</dcterms:created>
  <dcterms:modified xsi:type="dcterms:W3CDTF">2022-09-30T14:03:00Z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AuthorIds_UIVersion_7">
    <vt:lpwstr>19</vt:lpwstr>
  </property>
  <property fmtid="{D5CDD505-2E9C-101B-9397-08002B2CF9AE}" pid="4" name="AuthorIds_UIVersion_8">
    <vt:lpwstr>19</vt:lpwstr>
  </property>
  <property fmtid="{D5CDD505-2E9C-101B-9397-08002B2CF9AE}" pid="5" name="ClassificationContentMarkingFooterShapeIds">
    <vt:lpwstr>3,4,5</vt:lpwstr>
  </property>
  <property fmtid="{D5CDD505-2E9C-101B-9397-08002B2CF9AE}" pid="6" name="ClassificationContentMarkingFooterFontProps">
    <vt:lpwstr>#008000,10,Calibri</vt:lpwstr>
  </property>
  <property fmtid="{D5CDD505-2E9C-101B-9397-08002B2CF9AE}" pid="7" name="ClassificationContentMarkingFooterText">
    <vt:lpwstr>Unrestricted Grade 0</vt:lpwstr>
  </property>
  <property fmtid="{D5CDD505-2E9C-101B-9397-08002B2CF9AE}" pid="8" name="MSIP_Label_0ff569e4-81f4-4b1e-90ec-79e040788aaf_Enabled">
    <vt:lpwstr>true</vt:lpwstr>
  </property>
  <property fmtid="{D5CDD505-2E9C-101B-9397-08002B2CF9AE}" pid="9" name="MSIP_Label_0ff569e4-81f4-4b1e-90ec-79e040788aaf_SetDate">
    <vt:lpwstr>2022-09-30T10:41:43Z</vt:lpwstr>
  </property>
  <property fmtid="{D5CDD505-2E9C-101B-9397-08002B2CF9AE}" pid="10" name="MSIP_Label_0ff569e4-81f4-4b1e-90ec-79e040788aaf_Method">
    <vt:lpwstr>Privileged</vt:lpwstr>
  </property>
  <property fmtid="{D5CDD505-2E9C-101B-9397-08002B2CF9AE}" pid="11" name="MSIP_Label_0ff569e4-81f4-4b1e-90ec-79e040788aaf_Name">
    <vt:lpwstr>Unrestricted Grade 0</vt:lpwstr>
  </property>
  <property fmtid="{D5CDD505-2E9C-101B-9397-08002B2CF9AE}" pid="12" name="MSIP_Label_0ff569e4-81f4-4b1e-90ec-79e040788aaf_SiteId">
    <vt:lpwstr>28c5d0b5-b8cf-4453-90d1-e9d6c3ceea5e</vt:lpwstr>
  </property>
  <property fmtid="{D5CDD505-2E9C-101B-9397-08002B2CF9AE}" pid="13" name="MSIP_Label_0ff569e4-81f4-4b1e-90ec-79e040788aaf_ActionId">
    <vt:lpwstr>63dfd373-3f0f-43d3-866e-dad1af5d3fa2</vt:lpwstr>
  </property>
  <property fmtid="{D5CDD505-2E9C-101B-9397-08002B2CF9AE}" pid="14" name="MSIP_Label_0ff569e4-81f4-4b1e-90ec-79e040788aaf_ContentBits">
    <vt:lpwstr>2</vt:lpwstr>
  </property>
</Properties>
</file>